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76521" w14:textId="212A07C8" w:rsidR="00A26C9B" w:rsidRPr="004266BD"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#90</w:t>
      </w:r>
      <w:r w:rsidR="00DE124E">
        <w:rPr>
          <w:rFonts w:eastAsia="MS Gothic" w:cs="Arial"/>
          <w:noProof w:val="0"/>
          <w:sz w:val="28"/>
          <w:szCs w:val="28"/>
          <w:lang w:val="en-US"/>
        </w:rPr>
        <w:t>bis</w:t>
      </w:r>
      <w:r w:rsidRPr="004266BD">
        <w:rPr>
          <w:rFonts w:cs="Arial"/>
          <w:noProof w:val="0"/>
          <w:sz w:val="28"/>
          <w:szCs w:val="28"/>
          <w:lang w:val="en-US"/>
        </w:rPr>
        <w:tab/>
      </w:r>
      <w:r w:rsidR="00AE0452" w:rsidRPr="00342F60">
        <w:rPr>
          <w:rFonts w:cs="Arial"/>
          <w:noProof w:val="0"/>
          <w:sz w:val="28"/>
          <w:szCs w:val="28"/>
          <w:lang w:val="en-US"/>
        </w:rPr>
        <w:t>R1-</w:t>
      </w:r>
      <w:r w:rsidR="007007DA" w:rsidRPr="007007DA">
        <w:t xml:space="preserve"> </w:t>
      </w:r>
      <w:r w:rsidR="007007DA" w:rsidRPr="007007DA">
        <w:rPr>
          <w:rFonts w:cs="Arial"/>
          <w:noProof w:val="0"/>
          <w:sz w:val="28"/>
          <w:szCs w:val="28"/>
          <w:lang w:val="en-US"/>
        </w:rPr>
        <w:t>1717216</w:t>
      </w:r>
    </w:p>
    <w:p w14:paraId="46BFEF76" w14:textId="2F206998" w:rsidR="00CF527C" w:rsidRDefault="00CF527C" w:rsidP="00CF527C">
      <w:pPr>
        <w:pStyle w:val="a3"/>
        <w:tabs>
          <w:tab w:val="right" w:pos="9072"/>
          <w:tab w:val="right" w:pos="10206"/>
        </w:tabs>
        <w:spacing w:after="0" w:afterAutospacing="0"/>
        <w:rPr>
          <w:rFonts w:eastAsia="宋体" w:cs="Arial"/>
          <w:noProof w:val="0"/>
          <w:sz w:val="28"/>
          <w:szCs w:val="28"/>
          <w:lang w:val="en-US" w:eastAsia="zh-CN"/>
        </w:rPr>
      </w:pPr>
      <w:r>
        <w:rPr>
          <w:rFonts w:eastAsia="宋体" w:cs="Arial"/>
          <w:sz w:val="28"/>
          <w:szCs w:val="28"/>
          <w:lang w:val="en-US" w:eastAsia="zh-CN"/>
        </w:rPr>
        <w:t xml:space="preserve">Prague, </w:t>
      </w:r>
      <w:r w:rsidRPr="00B311BF">
        <w:rPr>
          <w:rFonts w:eastAsia="宋体" w:cs="Arial"/>
          <w:sz w:val="28"/>
          <w:szCs w:val="28"/>
          <w:lang w:val="en-US" w:eastAsia="zh-CN"/>
        </w:rPr>
        <w:t>Czech Republic</w:t>
      </w:r>
      <w:r w:rsidR="00DE124E">
        <w:rPr>
          <w:rFonts w:eastAsia="宋体" w:cs="Arial"/>
          <w:sz w:val="28"/>
          <w:szCs w:val="28"/>
          <w:lang w:val="en-US" w:eastAsia="zh-CN"/>
        </w:rPr>
        <w:t xml:space="preserve">, </w:t>
      </w:r>
      <w:r w:rsidR="00DE124E">
        <w:rPr>
          <w:rFonts w:cs="Arial"/>
          <w:bCs/>
          <w:sz w:val="28"/>
          <w:szCs w:val="24"/>
          <w:lang w:val="en-US"/>
        </w:rPr>
        <w:t>9</w:t>
      </w:r>
      <w:r w:rsidR="00DE124E" w:rsidRPr="00DE124E">
        <w:rPr>
          <w:rFonts w:cs="Arial"/>
          <w:bCs/>
          <w:sz w:val="28"/>
          <w:szCs w:val="24"/>
          <w:vertAlign w:val="superscript"/>
          <w:lang w:val="en-US"/>
        </w:rPr>
        <w:t>th</w:t>
      </w:r>
      <w:r>
        <w:rPr>
          <w:rFonts w:cs="Arial"/>
          <w:bCs/>
          <w:sz w:val="28"/>
          <w:szCs w:val="24"/>
          <w:lang w:val="en-US"/>
        </w:rPr>
        <w:t xml:space="preserve">– </w:t>
      </w:r>
      <w:r w:rsidR="00DE124E">
        <w:rPr>
          <w:rFonts w:cs="Arial"/>
          <w:bCs/>
          <w:sz w:val="28"/>
          <w:szCs w:val="24"/>
          <w:lang w:val="en-US"/>
        </w:rPr>
        <w:t>13</w:t>
      </w:r>
      <w:r w:rsidR="00DE124E">
        <w:rPr>
          <w:rFonts w:cs="Arial"/>
          <w:bCs/>
          <w:sz w:val="28"/>
          <w:szCs w:val="24"/>
          <w:vertAlign w:val="superscript"/>
          <w:lang w:val="en-US"/>
        </w:rPr>
        <w:t>rd</w:t>
      </w:r>
      <w:r>
        <w:rPr>
          <w:rFonts w:eastAsia="宋体" w:cs="Arial"/>
          <w:sz w:val="28"/>
          <w:szCs w:val="28"/>
          <w:lang w:val="en-US" w:eastAsia="zh-CN"/>
        </w:rPr>
        <w:t xml:space="preserve"> </w:t>
      </w:r>
      <w:r w:rsidR="00DE124E">
        <w:rPr>
          <w:rFonts w:eastAsiaTheme="minorEastAsia" w:cs="Arial"/>
          <w:sz w:val="28"/>
          <w:szCs w:val="28"/>
          <w:lang w:val="en-US"/>
        </w:rPr>
        <w:t>October</w:t>
      </w:r>
      <w:r>
        <w:rPr>
          <w:rFonts w:eastAsia="宋体" w:cs="Arial"/>
          <w:sz w:val="28"/>
          <w:szCs w:val="28"/>
          <w:lang w:val="en-US" w:eastAsia="zh-CN"/>
        </w:rPr>
        <w:t xml:space="preserve"> 2017</w:t>
      </w:r>
    </w:p>
    <w:p w14:paraId="2D5F7064" w14:textId="4308A869" w:rsidR="00A26C9B" w:rsidRPr="00CF527C" w:rsidRDefault="00A26C9B" w:rsidP="00CF527C">
      <w:pPr>
        <w:pStyle w:val="a3"/>
        <w:tabs>
          <w:tab w:val="right" w:pos="9072"/>
          <w:tab w:val="right" w:pos="10206"/>
        </w:tabs>
        <w:spacing w:after="0" w:afterAutospacing="0"/>
        <w:rPr>
          <w:rFonts w:eastAsia="宋体" w:cs="Arial"/>
          <w:noProof w:val="0"/>
          <w:sz w:val="28"/>
          <w:szCs w:val="28"/>
          <w:lang w:val="en-US" w:eastAsia="zh-CN"/>
        </w:rPr>
      </w:pPr>
    </w:p>
    <w:bookmarkEnd w:id="0"/>
    <w:p w14:paraId="41677828"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3979697A" w14:textId="4E41D086"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D95FC2">
        <w:rPr>
          <w:rFonts w:ascii="Arial" w:hAnsi="Arial" w:cs="Arial"/>
          <w:b/>
          <w:sz w:val="28"/>
          <w:szCs w:val="28"/>
          <w:lang w:val="en-US"/>
        </w:rPr>
        <w:t>D</w:t>
      </w:r>
      <w:r w:rsidR="00D95FC2">
        <w:rPr>
          <w:rFonts w:ascii="Arial" w:eastAsia="宋体" w:hAnsi="Arial" w:cs="Arial" w:hint="eastAsia"/>
          <w:b/>
          <w:sz w:val="28"/>
          <w:szCs w:val="28"/>
          <w:lang w:val="en-US" w:eastAsia="zh-CN"/>
        </w:rPr>
        <w:t xml:space="preserve">iscussion on </w:t>
      </w:r>
      <w:r w:rsidR="00414C96">
        <w:rPr>
          <w:rFonts w:ascii="Arial" w:hAnsi="Arial" w:cs="Arial"/>
          <w:b/>
          <w:sz w:val="28"/>
          <w:szCs w:val="28"/>
          <w:lang w:val="en-US"/>
        </w:rPr>
        <w:t>NB-IoT TDD-</w:t>
      </w:r>
      <w:r w:rsidR="00863D95">
        <w:rPr>
          <w:rFonts w:ascii="Arial" w:eastAsia="宋体" w:hAnsi="Arial" w:cs="Arial" w:hint="eastAsia"/>
          <w:b/>
          <w:sz w:val="28"/>
          <w:szCs w:val="28"/>
          <w:lang w:val="en-US" w:eastAsia="zh-CN"/>
        </w:rPr>
        <w:t xml:space="preserve">UL </w:t>
      </w:r>
    </w:p>
    <w:p w14:paraId="01D04A16" w14:textId="76EB974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266BD">
        <w:rPr>
          <w:rFonts w:ascii="Arial" w:hAnsi="Arial" w:cs="Arial"/>
          <w:b/>
          <w:sz w:val="28"/>
          <w:szCs w:val="28"/>
          <w:lang w:val="pt-BR"/>
        </w:rPr>
        <w:t>Agenda Item:</w:t>
      </w:r>
      <w:r w:rsidRPr="004266BD">
        <w:rPr>
          <w:rFonts w:ascii="Arial" w:hAnsi="Arial" w:cs="Arial"/>
          <w:b/>
          <w:sz w:val="28"/>
          <w:szCs w:val="28"/>
          <w:lang w:val="pt-BR"/>
        </w:rPr>
        <w:tab/>
      </w:r>
      <w:r w:rsidR="00D364FC">
        <w:rPr>
          <w:rFonts w:ascii="Arial" w:eastAsiaTheme="minorEastAsia" w:hAnsi="Arial" w:cs="Arial"/>
          <w:b/>
          <w:sz w:val="28"/>
          <w:szCs w:val="28"/>
          <w:lang w:val="pt-BR"/>
        </w:rPr>
        <w:t>6.2.6.3.2</w:t>
      </w:r>
    </w:p>
    <w:p w14:paraId="2EB6DC86" w14:textId="77777777"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3836D2CE"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543B29D4" w14:textId="5129276F" w:rsidR="00124816" w:rsidRPr="004266BD" w:rsidRDefault="00124816" w:rsidP="00124816">
      <w:pPr>
        <w:autoSpaceDE w:val="0"/>
        <w:autoSpaceDN w:val="0"/>
        <w:adjustRightInd w:val="0"/>
        <w:spacing w:after="0" w:afterAutospacing="0"/>
        <w:rPr>
          <w:rFonts w:cs="Arial"/>
          <w:szCs w:val="24"/>
        </w:rPr>
      </w:pPr>
      <w:r w:rsidRPr="004266BD">
        <w:rPr>
          <w:rFonts w:eastAsiaTheme="minorEastAsia" w:cs="Arial" w:hint="eastAsia"/>
          <w:szCs w:val="24"/>
        </w:rPr>
        <w:t xml:space="preserve">In </w:t>
      </w:r>
      <w:r w:rsidR="001870DE" w:rsidRPr="00480014">
        <w:rPr>
          <w:rFonts w:eastAsiaTheme="minorEastAsia" w:cs="Arial"/>
          <w:szCs w:val="24"/>
        </w:rPr>
        <w:t>RAN</w:t>
      </w:r>
      <w:r w:rsidR="00604EBB" w:rsidRPr="00480014">
        <w:rPr>
          <w:rFonts w:eastAsiaTheme="minorEastAsia" w:cs="Arial" w:hint="eastAsia"/>
          <w:szCs w:val="24"/>
        </w:rPr>
        <w:t>1</w:t>
      </w:r>
      <w:r w:rsidR="00604EBB" w:rsidRPr="00480014">
        <w:rPr>
          <w:rFonts w:eastAsiaTheme="minorEastAsia" w:cs="Arial"/>
          <w:szCs w:val="24"/>
        </w:rPr>
        <w:t xml:space="preserve"> #</w:t>
      </w:r>
      <w:r w:rsidR="00604EBB" w:rsidRPr="00480014">
        <w:rPr>
          <w:rFonts w:eastAsiaTheme="minorEastAsia" w:cs="Arial" w:hint="eastAsia"/>
          <w:szCs w:val="24"/>
        </w:rPr>
        <w:t>90</w:t>
      </w:r>
      <w:r w:rsidRPr="004266BD">
        <w:rPr>
          <w:rFonts w:eastAsiaTheme="minorEastAsia" w:cs="Arial" w:hint="eastAsia"/>
          <w:szCs w:val="24"/>
        </w:rPr>
        <w:t>, the following agreement w</w:t>
      </w:r>
      <w:r w:rsidRPr="004266BD">
        <w:rPr>
          <w:rFonts w:eastAsiaTheme="minorEastAsia" w:cs="Arial"/>
          <w:szCs w:val="24"/>
        </w:rPr>
        <w:t>as</w:t>
      </w:r>
      <w:r w:rsidR="0035225E">
        <w:rPr>
          <w:rFonts w:eastAsiaTheme="minorEastAsia" w:cs="Arial" w:hint="eastAsia"/>
          <w:szCs w:val="24"/>
        </w:rPr>
        <w:t xml:space="preserve"> made</w:t>
      </w:r>
      <w:r w:rsidR="0035225E">
        <w:rPr>
          <w:rFonts w:ascii="宋体" w:eastAsia="宋体" w:hAnsi="宋体" w:cs="Arial" w:hint="eastAsia"/>
          <w:szCs w:val="24"/>
          <w:lang w:eastAsia="zh-CN"/>
        </w:rPr>
        <w:t xml:space="preserve"> </w:t>
      </w:r>
      <w:r w:rsidRPr="004266BD">
        <w:rPr>
          <w:rFonts w:eastAsiaTheme="minorEastAsia" w:cs="Arial" w:hint="eastAsia"/>
          <w:szCs w:val="24"/>
        </w:rPr>
        <w:t>[1].</w:t>
      </w:r>
    </w:p>
    <w:tbl>
      <w:tblPr>
        <w:tblStyle w:val="ac"/>
        <w:tblW w:w="0" w:type="auto"/>
        <w:tblLook w:val="04A0" w:firstRow="1" w:lastRow="0" w:firstColumn="1" w:lastColumn="0" w:noHBand="0" w:noVBand="1"/>
      </w:tblPr>
      <w:tblGrid>
        <w:gridCol w:w="10162"/>
      </w:tblGrid>
      <w:tr w:rsidR="00604EBB" w:rsidRPr="00A3033E" w14:paraId="01FCAB8F" w14:textId="77777777" w:rsidTr="00604EBB">
        <w:trPr>
          <w:trHeight w:val="2874"/>
        </w:trPr>
        <w:tc>
          <w:tcPr>
            <w:tcW w:w="10162" w:type="dxa"/>
          </w:tcPr>
          <w:p w14:paraId="2E08247A" w14:textId="77777777" w:rsidR="00604EBB" w:rsidRPr="00C00D1D" w:rsidRDefault="00604EBB" w:rsidP="00604EBB">
            <w:pPr>
              <w:rPr>
                <w:highlight w:val="green"/>
              </w:rPr>
            </w:pPr>
            <w:r w:rsidRPr="00C00D1D">
              <w:rPr>
                <w:highlight w:val="green"/>
              </w:rPr>
              <w:t>Agreements:</w:t>
            </w:r>
          </w:p>
          <w:p w14:paraId="096C2514" w14:textId="77777777" w:rsidR="00604EBB" w:rsidRPr="00C00D1D" w:rsidRDefault="00604EBB" w:rsidP="00604EBB">
            <w:pPr>
              <w:numPr>
                <w:ilvl w:val="0"/>
                <w:numId w:val="35"/>
              </w:numPr>
              <w:snapToGrid/>
              <w:spacing w:after="0" w:afterAutospacing="0"/>
              <w:jc w:val="left"/>
              <w:rPr>
                <w:lang w:val="en-US"/>
              </w:rPr>
            </w:pPr>
            <w:r w:rsidRPr="00C00D1D">
              <w:rPr>
                <w:lang w:val="en-US"/>
              </w:rPr>
              <w:t>NPRACH for TDD supports single-tone with frequency hopping</w:t>
            </w:r>
          </w:p>
          <w:p w14:paraId="14D7320E" w14:textId="77777777" w:rsidR="00604EBB" w:rsidRPr="00C00D1D" w:rsidRDefault="00604EBB" w:rsidP="00604EBB">
            <w:pPr>
              <w:numPr>
                <w:ilvl w:val="1"/>
                <w:numId w:val="35"/>
              </w:numPr>
              <w:snapToGrid/>
              <w:spacing w:after="0" w:afterAutospacing="0"/>
              <w:jc w:val="left"/>
            </w:pPr>
            <w:r w:rsidRPr="00C00D1D">
              <w:rPr>
                <w:lang w:val="en-US"/>
              </w:rPr>
              <w:t>Multi-tone NPRACH formats can also be considered</w:t>
            </w:r>
          </w:p>
          <w:p w14:paraId="1EA808FF" w14:textId="77777777" w:rsidR="00604EBB" w:rsidRPr="00C00D1D" w:rsidRDefault="00604EBB" w:rsidP="00604EBB">
            <w:pPr>
              <w:numPr>
                <w:ilvl w:val="1"/>
                <w:numId w:val="35"/>
              </w:numPr>
              <w:snapToGrid/>
              <w:spacing w:after="0" w:afterAutospacing="0"/>
              <w:jc w:val="left"/>
            </w:pPr>
            <w:r w:rsidRPr="00C00D1D">
              <w:rPr>
                <w:lang w:val="en-US"/>
              </w:rPr>
              <w:t>FFS details of frequency hopping</w:t>
            </w:r>
          </w:p>
          <w:p w14:paraId="2F6DE42C" w14:textId="77777777" w:rsidR="00604EBB" w:rsidRPr="00C00D1D" w:rsidRDefault="00604EBB" w:rsidP="00604EBB">
            <w:pPr>
              <w:numPr>
                <w:ilvl w:val="0"/>
                <w:numId w:val="35"/>
              </w:numPr>
              <w:snapToGrid/>
              <w:spacing w:after="0" w:afterAutospacing="0"/>
              <w:jc w:val="left"/>
            </w:pPr>
            <w:r w:rsidRPr="00C00D1D">
              <w:rPr>
                <w:lang w:val="en-US"/>
              </w:rPr>
              <w:t xml:space="preserve">One symbol group is defined by one CP, and N symbols. </w:t>
            </w:r>
          </w:p>
          <w:p w14:paraId="25D7350B" w14:textId="77777777" w:rsidR="00604EBB" w:rsidRPr="00C00D1D" w:rsidRDefault="00604EBB" w:rsidP="00604EBB">
            <w:pPr>
              <w:numPr>
                <w:ilvl w:val="1"/>
                <w:numId w:val="35"/>
              </w:numPr>
              <w:snapToGrid/>
              <w:spacing w:after="0" w:afterAutospacing="0"/>
              <w:jc w:val="left"/>
            </w:pPr>
            <w:r w:rsidRPr="00C00D1D">
              <w:rPr>
                <w:lang w:val="en-US"/>
              </w:rPr>
              <w:t>FFS the value(s) of N</w:t>
            </w:r>
          </w:p>
          <w:p w14:paraId="4C1A9E4B" w14:textId="77777777" w:rsidR="00604EBB" w:rsidRPr="00C00D1D" w:rsidRDefault="00604EBB" w:rsidP="00604EBB">
            <w:pPr>
              <w:numPr>
                <w:ilvl w:val="1"/>
                <w:numId w:val="35"/>
              </w:numPr>
              <w:snapToGrid/>
              <w:spacing w:after="0" w:afterAutospacing="0"/>
              <w:jc w:val="left"/>
            </w:pPr>
            <w:r w:rsidRPr="00C00D1D">
              <w:rPr>
                <w:lang w:val="en-US"/>
              </w:rPr>
              <w:t>FFS CP durations, symbol duration</w:t>
            </w:r>
          </w:p>
          <w:p w14:paraId="34377F09" w14:textId="77777777" w:rsidR="00604EBB" w:rsidRPr="00C00D1D" w:rsidRDefault="00604EBB" w:rsidP="00604EBB">
            <w:pPr>
              <w:numPr>
                <w:ilvl w:val="0"/>
                <w:numId w:val="35"/>
              </w:numPr>
              <w:snapToGrid/>
              <w:spacing w:after="0" w:afterAutospacing="0"/>
              <w:jc w:val="left"/>
            </w:pPr>
            <w:r w:rsidRPr="00C00D1D">
              <w:rPr>
                <w:lang w:val="en-US"/>
              </w:rPr>
              <w:t>A preamble is defined by P symbol groups</w:t>
            </w:r>
          </w:p>
          <w:p w14:paraId="5011434D" w14:textId="77777777" w:rsidR="00604EBB" w:rsidRPr="00C00D1D" w:rsidRDefault="00604EBB" w:rsidP="00604EBB">
            <w:pPr>
              <w:numPr>
                <w:ilvl w:val="0"/>
                <w:numId w:val="35"/>
              </w:numPr>
              <w:snapToGrid/>
              <w:spacing w:after="0" w:afterAutospacing="0"/>
              <w:jc w:val="left"/>
            </w:pPr>
            <w:r w:rsidRPr="00C00D1D">
              <w:t>FFS: Guard time usage</w:t>
            </w:r>
          </w:p>
          <w:p w14:paraId="414FC24E" w14:textId="77777777" w:rsidR="00604EBB" w:rsidRPr="00C00D1D" w:rsidRDefault="00604EBB" w:rsidP="00604EBB">
            <w:pPr>
              <w:numPr>
                <w:ilvl w:val="0"/>
                <w:numId w:val="35"/>
              </w:numPr>
              <w:snapToGrid/>
              <w:spacing w:after="0" w:afterAutospacing="0"/>
              <w:jc w:val="left"/>
            </w:pPr>
            <w:r w:rsidRPr="00C00D1D">
              <w:rPr>
                <w:lang w:val="en-US"/>
              </w:rPr>
              <w:t>Repetition of NPRACH preamble is supported</w:t>
            </w:r>
          </w:p>
          <w:p w14:paraId="3561BF82" w14:textId="32DAADC2" w:rsidR="00604EBB" w:rsidRPr="00A3033E" w:rsidRDefault="00604EBB" w:rsidP="00604EBB">
            <w:pPr>
              <w:numPr>
                <w:ilvl w:val="0"/>
                <w:numId w:val="35"/>
              </w:numPr>
              <w:snapToGrid/>
              <w:spacing w:after="0" w:afterAutospacing="0"/>
              <w:jc w:val="left"/>
              <w:rPr>
                <w:bCs/>
              </w:rPr>
            </w:pPr>
            <w:r w:rsidRPr="00C00D1D">
              <w:rPr>
                <w:lang w:val="en-US"/>
              </w:rPr>
              <w:t>The cell radius target for TDD NPRACH is FFS</w:t>
            </w:r>
          </w:p>
        </w:tc>
      </w:tr>
    </w:tbl>
    <w:p w14:paraId="1D8BF708" w14:textId="7C7B68EB" w:rsidR="00FE1EAC" w:rsidRPr="00646357" w:rsidRDefault="00646357" w:rsidP="00FE1EAC">
      <w:pPr>
        <w:pStyle w:val="20"/>
        <w:rPr>
          <w:rFonts w:eastAsia="MS Gothic"/>
          <w:kern w:val="28"/>
          <w:sz w:val="32"/>
          <w:szCs w:val="20"/>
          <w:lang w:val="en-US"/>
        </w:rPr>
      </w:pPr>
      <w:r>
        <w:rPr>
          <w:rFonts w:eastAsia="MS Gothic"/>
          <w:kern w:val="28"/>
          <w:sz w:val="32"/>
          <w:szCs w:val="20"/>
          <w:lang w:val="en-US"/>
        </w:rPr>
        <w:t>2</w:t>
      </w:r>
      <w:r w:rsidR="00FE1EAC" w:rsidRPr="00646357">
        <w:rPr>
          <w:rFonts w:eastAsia="MS Gothic"/>
          <w:kern w:val="28"/>
          <w:sz w:val="32"/>
          <w:szCs w:val="20"/>
          <w:lang w:val="en-US"/>
        </w:rPr>
        <w:t>.</w:t>
      </w:r>
      <w:r w:rsidR="00FE1EAC" w:rsidRPr="00646357">
        <w:rPr>
          <w:rFonts w:eastAsia="MS Gothic"/>
          <w:kern w:val="28"/>
          <w:sz w:val="32"/>
          <w:szCs w:val="20"/>
          <w:lang w:val="en-US"/>
        </w:rPr>
        <w:tab/>
        <w:t>NPRACH Design</w:t>
      </w:r>
    </w:p>
    <w:p w14:paraId="0A208115" w14:textId="4AB7872C" w:rsidR="00FE1EAC" w:rsidRDefault="00FE1EAC" w:rsidP="00800FB8">
      <w:pPr>
        <w:jc w:val="left"/>
        <w:rPr>
          <w:rFonts w:eastAsia="宋体"/>
          <w:lang w:val="en-US" w:eastAsia="zh-CN"/>
        </w:rPr>
      </w:pPr>
      <w:r w:rsidRPr="00F84A7C">
        <w:rPr>
          <w:lang w:val="en-US"/>
        </w:rPr>
        <w:t xml:space="preserve">In FDD NB-IoT UL, we have single-tone and multi-tone transmission. Specifically, for NPRACH only single-tone with 3.75 kHz subcarrier spacing is supported. </w:t>
      </w:r>
      <w:r>
        <w:rPr>
          <w:rFonts w:eastAsia="宋体"/>
          <w:lang w:val="en-US" w:eastAsia="zh-CN"/>
        </w:rPr>
        <w:t>A</w:t>
      </w:r>
      <w:r>
        <w:rPr>
          <w:rFonts w:eastAsia="宋体" w:hint="eastAsia"/>
          <w:lang w:val="en-US" w:eastAsia="zh-CN"/>
        </w:rPr>
        <w:t>t the initial stage</w:t>
      </w:r>
      <w:r>
        <w:rPr>
          <w:rFonts w:eastAsia="宋体"/>
          <w:lang w:val="en-US" w:eastAsia="zh-CN"/>
        </w:rPr>
        <w:t xml:space="preserve"> of </w:t>
      </w:r>
      <w:r w:rsidR="00056716">
        <w:rPr>
          <w:rFonts w:eastAsia="宋体" w:hint="eastAsia"/>
          <w:lang w:val="en-US" w:eastAsia="zh-CN"/>
        </w:rPr>
        <w:t>TDD NB-IoT</w:t>
      </w:r>
      <w:r>
        <w:rPr>
          <w:rFonts w:eastAsia="宋体" w:hint="eastAsia"/>
          <w:lang w:val="en-US" w:eastAsia="zh-CN"/>
        </w:rPr>
        <w:t xml:space="preserve">, we can </w:t>
      </w:r>
      <w:r>
        <w:rPr>
          <w:rFonts w:eastAsia="宋体"/>
          <w:lang w:val="en-US" w:eastAsia="zh-CN"/>
        </w:rPr>
        <w:t>make the same transmission assumption as FDD</w:t>
      </w:r>
      <w:r w:rsidRPr="00F84A7C">
        <w:rPr>
          <w:rFonts w:eastAsia="宋体" w:hint="eastAsia"/>
          <w:lang w:val="en-US" w:eastAsia="zh-CN"/>
        </w:rPr>
        <w:t>.</w:t>
      </w:r>
    </w:p>
    <w:p w14:paraId="6A323443" w14:textId="1B582158" w:rsidR="003E4E20" w:rsidRPr="003E4E20" w:rsidRDefault="003E4E20" w:rsidP="00FE1EAC">
      <w:pPr>
        <w:rPr>
          <w:rFonts w:eastAsia="宋体"/>
          <w:b/>
          <w:lang w:val="en-US" w:eastAsia="zh-CN"/>
        </w:rPr>
      </w:pPr>
      <w:r w:rsidRPr="00E41FED">
        <w:rPr>
          <w:b/>
          <w:lang w:val="en-US"/>
        </w:rPr>
        <w:t>Proposal 1:</w:t>
      </w:r>
      <w:r w:rsidRPr="00E41FED">
        <w:rPr>
          <w:rFonts w:eastAsia="宋体" w:hint="eastAsia"/>
          <w:b/>
          <w:lang w:val="en-US" w:eastAsia="zh-CN"/>
        </w:rPr>
        <w:t xml:space="preserve"> </w:t>
      </w:r>
      <w:r>
        <w:rPr>
          <w:rFonts w:eastAsia="宋体"/>
          <w:b/>
          <w:lang w:val="en-US" w:eastAsia="zh-CN"/>
        </w:rPr>
        <w:t xml:space="preserve">Adopt 3.75 kHz subcarrier spacing for NPRACH transmission </w:t>
      </w:r>
      <w:r>
        <w:rPr>
          <w:b/>
          <w:lang w:val="en-US"/>
        </w:rPr>
        <w:t>in TDD NB-IoT.</w:t>
      </w:r>
    </w:p>
    <w:p w14:paraId="54FB6B30" w14:textId="4B871096" w:rsidR="00FE1EAC" w:rsidRDefault="00FE1EAC" w:rsidP="00FE1EAC">
      <w:pPr>
        <w:rPr>
          <w:rFonts w:eastAsia="宋体"/>
          <w:lang w:val="en-US" w:eastAsia="zh-CN"/>
        </w:rPr>
      </w:pPr>
      <w:r>
        <w:rPr>
          <w:rFonts w:eastAsia="宋体" w:hint="eastAsia"/>
          <w:lang w:val="en-US" w:eastAsia="zh-CN"/>
        </w:rPr>
        <w:t>For FDD NB-IoT, the preamble consist</w:t>
      </w:r>
      <w:r>
        <w:rPr>
          <w:rFonts w:eastAsia="宋体"/>
          <w:lang w:val="en-US" w:eastAsia="zh-CN"/>
        </w:rPr>
        <w:t>s</w:t>
      </w:r>
      <w:r>
        <w:rPr>
          <w:rFonts w:eastAsia="宋体" w:hint="eastAsia"/>
          <w:lang w:val="en-US" w:eastAsia="zh-CN"/>
        </w:rPr>
        <w:t xml:space="preserve"> of 4</w:t>
      </w:r>
      <w:r>
        <w:rPr>
          <w:rFonts w:eastAsia="宋体"/>
          <w:lang w:val="en-US" w:eastAsia="zh-CN"/>
        </w:rPr>
        <w:t xml:space="preserve"> consecutive</w:t>
      </w:r>
      <w:r>
        <w:rPr>
          <w:rFonts w:eastAsia="宋体" w:hint="eastAsia"/>
          <w:lang w:val="en-US" w:eastAsia="zh-CN"/>
        </w:rPr>
        <w:t xml:space="preserve"> symbols groups.</w:t>
      </w:r>
      <w:r>
        <w:rPr>
          <w:rFonts w:eastAsia="宋体"/>
          <w:lang w:val="en-US" w:eastAsia="zh-CN"/>
        </w:rPr>
        <w:t xml:space="preserve"> Two preamble format</w:t>
      </w:r>
      <w:r>
        <w:rPr>
          <w:rFonts w:eastAsia="宋体" w:hint="eastAsia"/>
          <w:lang w:val="en-US" w:eastAsia="zh-CN"/>
        </w:rPr>
        <w:t>s</w:t>
      </w:r>
      <w:r>
        <w:rPr>
          <w:rFonts w:eastAsia="宋体"/>
          <w:lang w:val="en-US" w:eastAsia="zh-CN"/>
        </w:rPr>
        <w:t xml:space="preserve"> can be applied for </w:t>
      </w:r>
      <w:r>
        <w:rPr>
          <w:rFonts w:eastAsia="宋体" w:hint="eastAsia"/>
          <w:lang w:val="en-US" w:eastAsia="zh-CN"/>
        </w:rPr>
        <w:t>symbols group</w:t>
      </w:r>
      <w:r>
        <w:rPr>
          <w:rFonts w:eastAsia="宋体"/>
          <w:lang w:val="en-US" w:eastAsia="zh-CN"/>
        </w:rPr>
        <w:t xml:space="preserve"> as shown in Table. </w:t>
      </w:r>
      <w:r w:rsidR="00056716">
        <w:rPr>
          <w:rFonts w:eastAsia="宋体"/>
          <w:lang w:val="en-US" w:eastAsia="zh-CN"/>
        </w:rPr>
        <w:t>1</w:t>
      </w:r>
      <w:r>
        <w:rPr>
          <w:rFonts w:eastAsia="宋体"/>
          <w:lang w:val="en-US" w:eastAsia="zh-CN"/>
        </w:rPr>
        <w:t>.</w:t>
      </w:r>
      <w:r>
        <w:rPr>
          <w:rFonts w:eastAsia="宋体" w:hint="eastAsia"/>
          <w:lang w:val="en-US" w:eastAsia="zh-CN"/>
        </w:rPr>
        <w:t xml:space="preserve"> </w:t>
      </w:r>
      <w:r>
        <w:rPr>
          <w:rFonts w:eastAsia="宋体"/>
          <w:lang w:val="en-US" w:eastAsia="zh-CN"/>
        </w:rPr>
        <w:t>The duration of a preamble is either 5.6 ms or 6.4 ms depending on the preamble format. However, in TDD it is impossible to find consecutive UL symbols whose duration is longer than 5ms. This means the preamble design in FDD NB-IoT cannot be directly applied for TDD case.</w:t>
      </w:r>
      <w:r w:rsidR="00056716">
        <w:rPr>
          <w:rFonts w:eastAsia="宋体"/>
          <w:lang w:val="en-US" w:eastAsia="zh-CN"/>
        </w:rPr>
        <w:t xml:space="preserve"> </w:t>
      </w:r>
      <w:r>
        <w:rPr>
          <w:rFonts w:eastAsia="宋体"/>
          <w:lang w:val="en-US" w:eastAsia="zh-CN"/>
        </w:rPr>
        <w:t xml:space="preserve">Therefore, instead of </w:t>
      </w:r>
      <w:r>
        <w:rPr>
          <w:rFonts w:eastAsia="宋体" w:hint="eastAsia"/>
          <w:lang w:val="en-US" w:eastAsia="zh-CN"/>
        </w:rPr>
        <w:t>attempting</w:t>
      </w:r>
      <w:r>
        <w:rPr>
          <w:rFonts w:eastAsia="宋体"/>
          <w:lang w:val="en-US" w:eastAsia="zh-CN"/>
        </w:rPr>
        <w:t xml:space="preserve"> to reuse FDD preamble structure, it is better to have a new </w:t>
      </w:r>
      <w:r>
        <w:rPr>
          <w:rFonts w:eastAsia="宋体" w:hint="eastAsia"/>
          <w:lang w:val="en-US" w:eastAsia="zh-CN"/>
        </w:rPr>
        <w:t xml:space="preserve">preamble design for </w:t>
      </w:r>
      <w:r>
        <w:rPr>
          <w:rFonts w:eastAsia="宋体"/>
          <w:lang w:val="en-US" w:eastAsia="zh-CN"/>
        </w:rPr>
        <w:t>NPRACH.</w:t>
      </w:r>
    </w:p>
    <w:p w14:paraId="18DDB673" w14:textId="625E04C6" w:rsidR="005D3A63" w:rsidRDefault="00CB6E70" w:rsidP="00FE1EAC">
      <w:pPr>
        <w:rPr>
          <w:rFonts w:eastAsia="宋体"/>
          <w:lang w:val="en-US" w:eastAsia="zh-CN"/>
        </w:rPr>
      </w:pPr>
      <w:r>
        <w:rPr>
          <w:rFonts w:eastAsia="宋体"/>
          <w:lang w:val="en-US" w:eastAsia="zh-CN"/>
        </w:rPr>
        <w:t>It is preferable to introduce a common PRACH design that can be applied under any TDD configurations.</w:t>
      </w:r>
      <w:r w:rsidR="002E4D64">
        <w:rPr>
          <w:rFonts w:eastAsia="宋体"/>
          <w:lang w:val="en-US" w:eastAsia="zh-CN"/>
        </w:rPr>
        <w:t xml:space="preserve"> As one alternative, the UpPTS within one special subframe together with the adjacent UL</w:t>
      </w:r>
      <w:r w:rsidR="00E67D65">
        <w:rPr>
          <w:rFonts w:eastAsia="宋体"/>
          <w:lang w:val="en-US" w:eastAsia="zh-CN"/>
        </w:rPr>
        <w:t xml:space="preserve"> subframe</w:t>
      </w:r>
      <w:r w:rsidR="002E4D64">
        <w:rPr>
          <w:rFonts w:eastAsia="宋体"/>
          <w:lang w:val="en-US" w:eastAsia="zh-CN"/>
        </w:rPr>
        <w:t xml:space="preserve"> can be jointly used for NPRACH transmission.</w:t>
      </w:r>
      <w:r w:rsidR="00E67D65">
        <w:rPr>
          <w:rFonts w:eastAsia="宋体"/>
          <w:lang w:val="en-US" w:eastAsia="zh-CN"/>
        </w:rPr>
        <w:t xml:space="preserve"> As list in Table. 2, the minimum number of UL symbol within UpPTS</w:t>
      </w:r>
      <w:r w:rsidR="00F4475B">
        <w:rPr>
          <w:rFonts w:eastAsia="宋体"/>
          <w:lang w:val="en-US" w:eastAsia="zh-CN"/>
        </w:rPr>
        <w:t xml:space="preserve"> is one</w:t>
      </w:r>
      <w:r w:rsidR="00E67D65">
        <w:rPr>
          <w:rFonts w:eastAsia="宋体"/>
          <w:lang w:val="en-US" w:eastAsia="zh-CN"/>
        </w:rPr>
        <w:t>.</w:t>
      </w:r>
      <w:r w:rsidR="00E70C90">
        <w:rPr>
          <w:rFonts w:eastAsia="宋体"/>
          <w:lang w:val="en-US" w:eastAsia="zh-CN"/>
        </w:rPr>
        <w:t xml:space="preserve"> </w:t>
      </w:r>
      <w:r w:rsidR="00FB441C">
        <w:rPr>
          <w:rFonts w:eastAsia="宋体"/>
          <w:lang w:val="en-US" w:eastAsia="zh-CN"/>
        </w:rPr>
        <w:t xml:space="preserve">Thus, we have a total time 2192Ts + 30720Ts=32912Ts for this </w:t>
      </w:r>
      <w:r w:rsidR="00FB441C">
        <w:rPr>
          <w:rFonts w:eastAsia="宋体"/>
          <w:lang w:val="en-US" w:eastAsia="zh-CN"/>
        </w:rPr>
        <w:lastRenderedPageBreak/>
        <w:t>1</w:t>
      </w:r>
      <w:r w:rsidR="00F4475B">
        <w:rPr>
          <w:rFonts w:eastAsia="宋体"/>
          <w:lang w:val="en-US" w:eastAsia="zh-CN"/>
        </w:rPr>
        <w:t>-</w:t>
      </w:r>
      <w:r w:rsidR="00FB441C">
        <w:rPr>
          <w:rFonts w:eastAsia="宋体"/>
          <w:lang w:val="en-US" w:eastAsia="zh-CN"/>
        </w:rPr>
        <w:t>symbol UpPTS case.</w:t>
      </w:r>
      <w:r w:rsidR="00F4475B">
        <w:rPr>
          <w:rFonts w:eastAsia="宋体"/>
          <w:lang w:val="en-US" w:eastAsia="zh-CN"/>
        </w:rPr>
        <w:t xml:space="preserve"> Despite four 3.75kHz-symbol</w:t>
      </w:r>
      <w:r w:rsidR="000F2C1B">
        <w:rPr>
          <w:rFonts w:eastAsia="宋体"/>
          <w:lang w:val="en-US" w:eastAsia="zh-CN"/>
        </w:rPr>
        <w:t>s can be inserted within this time duration, the left length of time (32912Ts-8192*4Ts=144</w:t>
      </w:r>
      <w:r w:rsidR="00FD25A3">
        <w:rPr>
          <w:rFonts w:eastAsia="宋体"/>
          <w:lang w:val="en-US" w:eastAsia="zh-CN"/>
        </w:rPr>
        <w:t>Ts</w:t>
      </w:r>
      <w:r w:rsidR="000F2C1B">
        <w:rPr>
          <w:rFonts w:eastAsia="宋体"/>
          <w:lang w:val="en-US" w:eastAsia="zh-CN"/>
        </w:rPr>
        <w:t>) is not enough for CP and let alone the guard period.</w:t>
      </w:r>
    </w:p>
    <w:p w14:paraId="71556B73" w14:textId="2242E8CD" w:rsidR="002E4D64" w:rsidRDefault="006F39D1" w:rsidP="00FE1EAC">
      <w:pPr>
        <w:rPr>
          <w:rFonts w:eastAsia="宋体"/>
          <w:lang w:val="en-US" w:eastAsia="zh-CN"/>
        </w:rPr>
      </w:pPr>
      <w:r>
        <w:rPr>
          <w:rFonts w:eastAsia="宋体"/>
          <w:lang w:val="en-US" w:eastAsia="zh-CN"/>
        </w:rPr>
        <w:t>Consequently</w:t>
      </w:r>
      <w:r>
        <w:rPr>
          <w:rFonts w:eastAsia="宋体" w:hint="eastAsia"/>
          <w:lang w:val="en-US" w:eastAsia="zh-CN"/>
        </w:rPr>
        <w:t xml:space="preserve">, </w:t>
      </w:r>
      <w:r>
        <w:rPr>
          <w:rFonts w:eastAsia="宋体"/>
          <w:lang w:val="en-US" w:eastAsia="zh-CN"/>
        </w:rPr>
        <w:t xml:space="preserve">it is more favorable to use the 2-symbol UpPTS case. For the 2-symbol UpPTS case, we have 2*2192Ts + 30720Ts=35104Ts for NPRACH transmission. After </w:t>
      </w:r>
      <w:r w:rsidRPr="006F39D1">
        <w:rPr>
          <w:rFonts w:eastAsia="宋体"/>
          <w:lang w:val="en-US" w:eastAsia="zh-CN"/>
        </w:rPr>
        <w:t>subtract</w:t>
      </w:r>
      <w:r>
        <w:rPr>
          <w:rFonts w:eastAsia="宋体"/>
          <w:lang w:val="en-US" w:eastAsia="zh-CN"/>
        </w:rPr>
        <w:t xml:space="preserve">ing the length of four 3.75kHz-symbols, we still have 2336Ts </w:t>
      </w:r>
      <w:r w:rsidR="002E1CEA">
        <w:rPr>
          <w:rFonts w:eastAsia="宋体"/>
          <w:lang w:val="en-US" w:eastAsia="zh-CN"/>
        </w:rPr>
        <w:t>(35104Ts-8192*4Ts=2336Ts)</w:t>
      </w:r>
      <w:r w:rsidR="002E1CEA">
        <w:rPr>
          <w:rFonts w:eastAsia="宋体" w:hint="eastAsia"/>
          <w:lang w:val="en-US" w:eastAsia="zh-CN"/>
        </w:rPr>
        <w:t xml:space="preserve"> </w:t>
      </w:r>
      <w:r>
        <w:rPr>
          <w:rFonts w:eastAsia="宋体"/>
          <w:lang w:val="en-US" w:eastAsia="zh-CN"/>
        </w:rPr>
        <w:t xml:space="preserve">which is enough for CP. </w:t>
      </w:r>
    </w:p>
    <w:p w14:paraId="4C4BFFA1" w14:textId="0F9EA687" w:rsidR="00FE1EAC" w:rsidRDefault="00FE1EAC" w:rsidP="00FE1EAC">
      <w:pPr>
        <w:pStyle w:val="TH"/>
      </w:pPr>
      <w:r>
        <w:rPr>
          <w:lang w:eastAsia="zh-CN"/>
        </w:rPr>
        <w:t xml:space="preserve">Table </w:t>
      </w:r>
      <w:r w:rsidR="002E7CB0">
        <w:rPr>
          <w:lang w:eastAsia="zh-CN"/>
        </w:rPr>
        <w:t>1</w:t>
      </w:r>
      <w:r w:rsidRPr="00C83B02">
        <w:rPr>
          <w:lang w:eastAsia="zh-CN"/>
        </w:rPr>
        <w:t>.</w:t>
      </w:r>
      <w:r>
        <w:rPr>
          <w:b w:val="0"/>
          <w:lang w:eastAsia="zh-CN"/>
        </w:rPr>
        <w:t xml:space="preserve"> </w:t>
      </w:r>
      <w:r>
        <w:t>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835"/>
        <w:gridCol w:w="1038"/>
      </w:tblGrid>
      <w:tr w:rsidR="00FE1EAC" w14:paraId="6B00E7D3" w14:textId="77777777" w:rsidTr="0056734B">
        <w:trPr>
          <w:cantSplit/>
          <w:jc w:val="center"/>
        </w:trPr>
        <w:tc>
          <w:tcPr>
            <w:tcW w:w="0" w:type="auto"/>
            <w:shd w:val="clear" w:color="auto" w:fill="E0E0E0"/>
            <w:vAlign w:val="center"/>
          </w:tcPr>
          <w:p w14:paraId="1A9AB29C" w14:textId="77777777" w:rsidR="00FE1EAC" w:rsidRDefault="00FE1EAC" w:rsidP="0056734B">
            <w:pPr>
              <w:pStyle w:val="TAH"/>
            </w:pPr>
            <w:r>
              <w:t>Preamble format</w:t>
            </w:r>
          </w:p>
        </w:tc>
        <w:tc>
          <w:tcPr>
            <w:tcW w:w="0" w:type="auto"/>
            <w:shd w:val="clear" w:color="auto" w:fill="E0E0E0"/>
            <w:vAlign w:val="center"/>
          </w:tcPr>
          <w:p w14:paraId="3BC2CC76" w14:textId="77777777" w:rsidR="00FE1EAC" w:rsidRDefault="00FE1EAC" w:rsidP="0056734B">
            <w:pPr>
              <w:pStyle w:val="TAH"/>
            </w:pPr>
            <w:r w:rsidRPr="005B11E1">
              <w:rPr>
                <w:position w:val="-10"/>
              </w:rPr>
              <w:object w:dxaOrig="340" w:dyaOrig="300" w14:anchorId="7DA62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pt" o:ole="">
                  <v:imagedata r:id="rId8" o:title=""/>
                </v:shape>
                <o:OLEObject Type="Embed" ProgID="Equation.3" ShapeID="_x0000_i1025" DrawAspect="Content" ObjectID="_1568197442" r:id="rId9"/>
              </w:object>
            </w:r>
          </w:p>
        </w:tc>
        <w:tc>
          <w:tcPr>
            <w:tcW w:w="0" w:type="auto"/>
            <w:shd w:val="clear" w:color="auto" w:fill="E0E0E0"/>
            <w:vAlign w:val="center"/>
          </w:tcPr>
          <w:p w14:paraId="3B2A90C7" w14:textId="77777777" w:rsidR="00FE1EAC" w:rsidRDefault="00FE1EAC" w:rsidP="0056734B">
            <w:pPr>
              <w:pStyle w:val="TAH"/>
            </w:pPr>
            <w:r w:rsidRPr="005B11E1">
              <w:rPr>
                <w:position w:val="-12"/>
              </w:rPr>
              <w:object w:dxaOrig="440" w:dyaOrig="320" w14:anchorId="6963C864">
                <v:shape id="_x0000_i1026" type="#_x0000_t75" style="width:21.75pt;height:15.75pt" o:ole="">
                  <v:imagedata r:id="rId10" o:title=""/>
                </v:shape>
                <o:OLEObject Type="Embed" ProgID="Equation.3" ShapeID="_x0000_i1026" DrawAspect="Content" ObjectID="_1568197443" r:id="rId11"/>
              </w:object>
            </w:r>
          </w:p>
        </w:tc>
      </w:tr>
      <w:tr w:rsidR="00FE1EAC" w14:paraId="10D6415A" w14:textId="77777777" w:rsidTr="0056734B">
        <w:trPr>
          <w:cantSplit/>
          <w:jc w:val="center"/>
        </w:trPr>
        <w:tc>
          <w:tcPr>
            <w:tcW w:w="0" w:type="auto"/>
            <w:shd w:val="clear" w:color="auto" w:fill="auto"/>
            <w:vAlign w:val="center"/>
          </w:tcPr>
          <w:p w14:paraId="1CCA7913" w14:textId="77777777" w:rsidR="00FE1EAC" w:rsidRDefault="00FE1EAC" w:rsidP="0056734B">
            <w:pPr>
              <w:pStyle w:val="TAC"/>
            </w:pPr>
            <w:r>
              <w:t>0</w:t>
            </w:r>
          </w:p>
        </w:tc>
        <w:tc>
          <w:tcPr>
            <w:tcW w:w="0" w:type="auto"/>
            <w:shd w:val="clear" w:color="auto" w:fill="auto"/>
            <w:vAlign w:val="center"/>
          </w:tcPr>
          <w:p w14:paraId="1E938547" w14:textId="77777777" w:rsidR="00FE1EAC" w:rsidRDefault="00FE1EAC" w:rsidP="0056734B">
            <w:pPr>
              <w:pStyle w:val="TAR"/>
            </w:pPr>
            <w:r w:rsidRPr="00A45257">
              <w:rPr>
                <w:position w:val="-10"/>
              </w:rPr>
              <w:object w:dxaOrig="620" w:dyaOrig="300" w14:anchorId="340B8E0E">
                <v:shape id="_x0000_i1027" type="#_x0000_t75" style="width:30.9pt;height:15pt" o:ole="">
                  <v:imagedata r:id="rId12" o:title=""/>
                </v:shape>
                <o:OLEObject Type="Embed" ProgID="Equation.3" ShapeID="_x0000_i1027" DrawAspect="Content" ObjectID="_1568197444" r:id="rId13"/>
              </w:object>
            </w:r>
          </w:p>
        </w:tc>
        <w:tc>
          <w:tcPr>
            <w:tcW w:w="0" w:type="auto"/>
            <w:shd w:val="clear" w:color="auto" w:fill="auto"/>
            <w:vAlign w:val="center"/>
          </w:tcPr>
          <w:p w14:paraId="1C6CB130" w14:textId="77777777" w:rsidR="00FE1EAC" w:rsidRDefault="00FE1EAC" w:rsidP="0056734B">
            <w:pPr>
              <w:pStyle w:val="TAR"/>
            </w:pPr>
            <w:r w:rsidRPr="00A45257">
              <w:rPr>
                <w:position w:val="-10"/>
              </w:rPr>
              <w:object w:dxaOrig="820" w:dyaOrig="300" w14:anchorId="3A556DE0">
                <v:shape id="_x0000_i1028" type="#_x0000_t75" style="width:41.1pt;height:15pt" o:ole="">
                  <v:imagedata r:id="rId14" o:title=""/>
                </v:shape>
                <o:OLEObject Type="Embed" ProgID="Equation.3" ShapeID="_x0000_i1028" DrawAspect="Content" ObjectID="_1568197445" r:id="rId15"/>
              </w:object>
            </w:r>
          </w:p>
        </w:tc>
      </w:tr>
      <w:tr w:rsidR="00FE1EAC" w14:paraId="04F582C1" w14:textId="77777777" w:rsidTr="0056734B">
        <w:trPr>
          <w:cantSplit/>
          <w:trHeight w:val="264"/>
          <w:jc w:val="center"/>
        </w:trPr>
        <w:tc>
          <w:tcPr>
            <w:tcW w:w="0" w:type="auto"/>
            <w:shd w:val="clear" w:color="auto" w:fill="auto"/>
            <w:vAlign w:val="center"/>
          </w:tcPr>
          <w:p w14:paraId="0695D50B" w14:textId="77777777" w:rsidR="00FE1EAC" w:rsidRDefault="00FE1EAC" w:rsidP="0056734B">
            <w:pPr>
              <w:pStyle w:val="TAC"/>
            </w:pPr>
            <w:r>
              <w:t>1</w:t>
            </w:r>
          </w:p>
        </w:tc>
        <w:tc>
          <w:tcPr>
            <w:tcW w:w="0" w:type="auto"/>
            <w:shd w:val="clear" w:color="auto" w:fill="auto"/>
            <w:vAlign w:val="center"/>
          </w:tcPr>
          <w:p w14:paraId="3D1AB514" w14:textId="77777777" w:rsidR="00FE1EAC" w:rsidRDefault="00FE1EAC" w:rsidP="0056734B">
            <w:pPr>
              <w:pStyle w:val="TAR"/>
            </w:pPr>
            <w:r w:rsidRPr="00A45257">
              <w:rPr>
                <w:position w:val="-10"/>
              </w:rPr>
              <w:object w:dxaOrig="620" w:dyaOrig="300" w14:anchorId="7A650C74">
                <v:shape id="_x0000_i1029" type="#_x0000_t75" style="width:30.9pt;height:15pt" o:ole="">
                  <v:imagedata r:id="rId16" o:title=""/>
                </v:shape>
                <o:OLEObject Type="Embed" ProgID="Equation.3" ShapeID="_x0000_i1029" DrawAspect="Content" ObjectID="_1568197446" r:id="rId17"/>
              </w:object>
            </w:r>
          </w:p>
        </w:tc>
        <w:tc>
          <w:tcPr>
            <w:tcW w:w="0" w:type="auto"/>
            <w:shd w:val="clear" w:color="auto" w:fill="auto"/>
            <w:vAlign w:val="center"/>
          </w:tcPr>
          <w:p w14:paraId="44A18EF1" w14:textId="77777777" w:rsidR="00FE1EAC" w:rsidRDefault="00FE1EAC" w:rsidP="0056734B">
            <w:pPr>
              <w:pStyle w:val="TAR"/>
            </w:pPr>
            <w:r w:rsidRPr="00A45257">
              <w:rPr>
                <w:position w:val="-10"/>
              </w:rPr>
              <w:object w:dxaOrig="820" w:dyaOrig="300" w14:anchorId="119BB56E">
                <v:shape id="_x0000_i1030" type="#_x0000_t75" style="width:41.1pt;height:15pt" o:ole="">
                  <v:imagedata r:id="rId18" o:title=""/>
                </v:shape>
                <o:OLEObject Type="Embed" ProgID="Equation.3" ShapeID="_x0000_i1030" DrawAspect="Content" ObjectID="_1568197447" r:id="rId19"/>
              </w:object>
            </w:r>
          </w:p>
        </w:tc>
      </w:tr>
    </w:tbl>
    <w:p w14:paraId="3C64AF4E" w14:textId="77777777" w:rsidR="00FE1EAC" w:rsidRPr="00FE1EAC" w:rsidRDefault="00FE1EAC" w:rsidP="00A3033E">
      <w:pPr>
        <w:rPr>
          <w:rFonts w:eastAsia="宋体"/>
          <w:b/>
          <w:lang w:val="en-US" w:eastAsia="zh-CN"/>
        </w:rPr>
      </w:pPr>
    </w:p>
    <w:p w14:paraId="7F4245D4" w14:textId="77777777" w:rsidR="00A3033E" w:rsidRDefault="00A3033E" w:rsidP="00A3033E">
      <w:pPr>
        <w:pStyle w:val="TH"/>
      </w:pPr>
      <w:r>
        <w:rPr>
          <w:lang w:eastAsia="zh-CN"/>
        </w:rPr>
        <w:t>Table 2</w:t>
      </w:r>
      <w:r w:rsidRPr="00C83B02">
        <w:rPr>
          <w:lang w:eastAsia="zh-CN"/>
        </w:rPr>
        <w:t>.</w:t>
      </w:r>
      <w:r>
        <w:rPr>
          <w:b w:val="0"/>
          <w:lang w:eastAsia="zh-CN"/>
        </w:rPr>
        <w:t xml:space="preserve"> </w:t>
      </w:r>
      <w:r>
        <w:t>Configuration of special subframe (lengths of DwPTS/GP/UpPTS)</w:t>
      </w:r>
    </w:p>
    <w:tbl>
      <w:tblPr>
        <w:tblW w:w="5308" w:type="dxa"/>
        <w:jc w:val="center"/>
        <w:tblLook w:val="01E0" w:firstRow="1" w:lastRow="1" w:firstColumn="1" w:lastColumn="1" w:noHBand="0" w:noVBand="0"/>
      </w:tblPr>
      <w:tblGrid>
        <w:gridCol w:w="1239"/>
        <w:gridCol w:w="1038"/>
        <w:gridCol w:w="1612"/>
        <w:gridCol w:w="1612"/>
        <w:gridCol w:w="1038"/>
        <w:gridCol w:w="1629"/>
        <w:gridCol w:w="1629"/>
      </w:tblGrid>
      <w:tr w:rsidR="00A3033E" w:rsidRPr="00942720" w14:paraId="055DFAAC" w14:textId="77777777" w:rsidTr="00AD5F8B">
        <w:trPr>
          <w:cantSplit/>
          <w:trHeight w:val="246"/>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C7DD878" w14:textId="77777777" w:rsidR="00A3033E" w:rsidRPr="00942720" w:rsidRDefault="00A3033E" w:rsidP="00AD5F8B">
            <w:pPr>
              <w:pStyle w:val="TAH"/>
              <w:rPr>
                <w:sz w:val="16"/>
                <w:szCs w:val="16"/>
              </w:rPr>
            </w:pPr>
            <w:r w:rsidRPr="00942720">
              <w:rPr>
                <w:sz w:val="16"/>
                <w:szCs w:val="16"/>
              </w:rPr>
              <w:t>Special subframe configuration</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2E63035" w14:textId="77777777" w:rsidR="00A3033E" w:rsidRPr="00942720" w:rsidRDefault="00A3033E" w:rsidP="00AD5F8B">
            <w:pPr>
              <w:pStyle w:val="TAH"/>
              <w:rPr>
                <w:sz w:val="16"/>
                <w:szCs w:val="16"/>
              </w:rPr>
            </w:pPr>
            <w:r w:rsidRPr="00942720">
              <w:rPr>
                <w:sz w:val="16"/>
                <w:szCs w:val="16"/>
              </w:rPr>
              <w:t>Normal cyclic prefix in downlink</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3D45F70" w14:textId="77777777" w:rsidR="00A3033E" w:rsidRPr="00942720" w:rsidRDefault="00A3033E" w:rsidP="00AD5F8B">
            <w:pPr>
              <w:pStyle w:val="TAH"/>
              <w:rPr>
                <w:sz w:val="16"/>
                <w:szCs w:val="16"/>
              </w:rPr>
            </w:pPr>
            <w:r w:rsidRPr="00942720">
              <w:rPr>
                <w:sz w:val="16"/>
                <w:szCs w:val="16"/>
              </w:rPr>
              <w:t>Extended cyclic prefix in downlink</w:t>
            </w:r>
          </w:p>
        </w:tc>
      </w:tr>
      <w:tr w:rsidR="00A3033E" w:rsidRPr="00942720" w14:paraId="295D535A" w14:textId="77777777" w:rsidTr="00AD5F8B">
        <w:trPr>
          <w:cantSplit/>
          <w:trHeight w:val="26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16647B1" w14:textId="77777777" w:rsidR="00A3033E" w:rsidRPr="00942720" w:rsidRDefault="00A3033E" w:rsidP="00AD5F8B">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D91569" w14:textId="77777777" w:rsidR="00A3033E" w:rsidRPr="00942720" w:rsidRDefault="00A3033E" w:rsidP="00AD5F8B">
            <w:pPr>
              <w:pStyle w:val="TAH"/>
              <w:rPr>
                <w:sz w:val="16"/>
                <w:szCs w:val="16"/>
              </w:rPr>
            </w:pPr>
            <w:r w:rsidRPr="00942720">
              <w:rPr>
                <w:sz w:val="16"/>
                <w:szCs w:val="16"/>
              </w:rPr>
              <w:t>DwPTS</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2173B41" w14:textId="77777777" w:rsidR="00A3033E" w:rsidRPr="00942720" w:rsidRDefault="00A3033E" w:rsidP="00AD5F8B">
            <w:pPr>
              <w:pStyle w:val="TAH"/>
              <w:rPr>
                <w:sz w:val="16"/>
                <w:szCs w:val="16"/>
              </w:rPr>
            </w:pPr>
            <w:r w:rsidRPr="00942720">
              <w:rPr>
                <w:sz w:val="16"/>
                <w:szCs w:val="16"/>
              </w:rPr>
              <w:t>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491750" w14:textId="77777777" w:rsidR="00A3033E" w:rsidRPr="00942720" w:rsidRDefault="00A3033E" w:rsidP="00AD5F8B">
            <w:pPr>
              <w:pStyle w:val="TAH"/>
              <w:rPr>
                <w:sz w:val="16"/>
                <w:szCs w:val="16"/>
              </w:rPr>
            </w:pPr>
            <w:r w:rsidRPr="00942720">
              <w:rPr>
                <w:sz w:val="16"/>
                <w:szCs w:val="16"/>
              </w:rPr>
              <w:t>DwPTS</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F1024B6" w14:textId="77777777" w:rsidR="00A3033E" w:rsidRPr="00942720" w:rsidRDefault="00A3033E" w:rsidP="00AD5F8B">
            <w:pPr>
              <w:pStyle w:val="TAH"/>
              <w:rPr>
                <w:sz w:val="16"/>
                <w:szCs w:val="16"/>
              </w:rPr>
            </w:pPr>
            <w:r w:rsidRPr="00942720">
              <w:rPr>
                <w:sz w:val="16"/>
                <w:szCs w:val="16"/>
              </w:rPr>
              <w:t>UpPTS</w:t>
            </w:r>
          </w:p>
        </w:tc>
      </w:tr>
      <w:tr w:rsidR="00A3033E" w:rsidRPr="00942720" w14:paraId="30B846CC" w14:textId="77777777" w:rsidTr="00AD5F8B">
        <w:trPr>
          <w:cantSplit/>
          <w:trHeight w:val="765"/>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C53797C" w14:textId="77777777" w:rsidR="00A3033E" w:rsidRPr="00942720" w:rsidRDefault="00A3033E" w:rsidP="00AD5F8B">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68896D" w14:textId="77777777" w:rsidR="00A3033E" w:rsidRPr="00942720" w:rsidRDefault="00A3033E" w:rsidP="00AD5F8B">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6CEC59" w14:textId="77777777" w:rsidR="00A3033E" w:rsidRPr="00942720" w:rsidRDefault="00A3033E" w:rsidP="00AD5F8B">
            <w:pPr>
              <w:pStyle w:val="TAH"/>
              <w:rPr>
                <w:sz w:val="16"/>
                <w:szCs w:val="16"/>
              </w:rPr>
            </w:pPr>
            <w:r w:rsidRPr="00942720">
              <w:rPr>
                <w:sz w:val="16"/>
                <w:szCs w:val="16"/>
              </w:rPr>
              <w:t>Normal cyclic prefix</w:t>
            </w:r>
            <w:r w:rsidRPr="00942720">
              <w:rPr>
                <w:sz w:val="16"/>
                <w:szCs w:val="16"/>
              </w:rPr>
              <w:br/>
              <w:t xml:space="preserve">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B3CC54" w14:textId="77777777" w:rsidR="00A3033E" w:rsidRPr="00942720" w:rsidRDefault="00A3033E" w:rsidP="00AD5F8B">
            <w:pPr>
              <w:pStyle w:val="TAH"/>
              <w:rPr>
                <w:sz w:val="16"/>
                <w:szCs w:val="16"/>
              </w:rPr>
            </w:pPr>
            <w:r w:rsidRPr="00942720">
              <w:rPr>
                <w:sz w:val="16"/>
                <w:szCs w:val="16"/>
              </w:rPr>
              <w:t xml:space="preserve">Extended cyclic prefix </w:t>
            </w:r>
            <w:r w:rsidRPr="00942720">
              <w:rPr>
                <w:sz w:val="16"/>
                <w:szCs w:val="16"/>
              </w:rPr>
              <w:br/>
              <w:t>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B27C9F" w14:textId="77777777" w:rsidR="00A3033E" w:rsidRPr="00942720" w:rsidRDefault="00A3033E" w:rsidP="00AD5F8B">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63ABE4" w14:textId="77777777" w:rsidR="00A3033E" w:rsidRPr="00942720" w:rsidRDefault="00A3033E" w:rsidP="00AD5F8B">
            <w:pPr>
              <w:pStyle w:val="TAH"/>
              <w:rPr>
                <w:sz w:val="16"/>
                <w:szCs w:val="16"/>
              </w:rPr>
            </w:pPr>
            <w:r w:rsidRPr="00942720">
              <w:rPr>
                <w:sz w:val="16"/>
                <w:szCs w:val="16"/>
              </w:rPr>
              <w:t>Normal cyclic prefix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C61249" w14:textId="77777777" w:rsidR="00A3033E" w:rsidRPr="00942720" w:rsidRDefault="00A3033E" w:rsidP="00AD5F8B">
            <w:pPr>
              <w:pStyle w:val="TAH"/>
              <w:rPr>
                <w:sz w:val="16"/>
                <w:szCs w:val="16"/>
              </w:rPr>
            </w:pPr>
            <w:r w:rsidRPr="00942720">
              <w:rPr>
                <w:sz w:val="16"/>
                <w:szCs w:val="16"/>
              </w:rPr>
              <w:t>Extended cyclic prefix in uplink</w:t>
            </w:r>
          </w:p>
        </w:tc>
      </w:tr>
      <w:tr w:rsidR="00A3033E" w14:paraId="5E13D03F"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2880D681" w14:textId="77777777" w:rsidR="00A3033E" w:rsidRPr="00FA462F" w:rsidRDefault="00A3033E" w:rsidP="00AD5F8B">
            <w:pPr>
              <w:pStyle w:val="TAC"/>
            </w:pPr>
            <w:r w:rsidRPr="00FA462F">
              <w:t>0</w:t>
            </w:r>
          </w:p>
        </w:tc>
        <w:tc>
          <w:tcPr>
            <w:tcW w:w="0" w:type="auto"/>
            <w:tcBorders>
              <w:top w:val="single" w:sz="4" w:space="0" w:color="auto"/>
              <w:left w:val="single" w:sz="4" w:space="0" w:color="auto"/>
              <w:bottom w:val="single" w:sz="4" w:space="0" w:color="auto"/>
              <w:right w:val="single" w:sz="4" w:space="0" w:color="auto"/>
            </w:tcBorders>
            <w:vAlign w:val="center"/>
          </w:tcPr>
          <w:p w14:paraId="71B1D6E5" w14:textId="77777777" w:rsidR="00A3033E" w:rsidRDefault="00A3033E" w:rsidP="00AD5F8B">
            <w:pPr>
              <w:pStyle w:val="TAC"/>
            </w:pPr>
            <w:r w:rsidRPr="00E653F9">
              <w:rPr>
                <w:position w:val="-10"/>
              </w:rPr>
              <w:object w:dxaOrig="720" w:dyaOrig="300" w14:anchorId="7E56C438">
                <v:shape id="_x0000_i1031" type="#_x0000_t75" style="width:37.1pt;height:15pt" o:ole="">
                  <v:imagedata r:id="rId20" o:title=""/>
                </v:shape>
                <o:OLEObject Type="Embed" ProgID="Equation.3" ShapeID="_x0000_i1031" DrawAspect="Content" ObjectID="_1568197448" r:id="rId21"/>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8E0CB2" w14:textId="77777777" w:rsidR="00A3033E" w:rsidRDefault="00A3033E" w:rsidP="00AD5F8B">
            <w:pPr>
              <w:pStyle w:val="TAC"/>
            </w:pPr>
            <w:r w:rsidRPr="008F3BE9">
              <w:rPr>
                <w:position w:val="-12"/>
              </w:rPr>
              <w:object w:dxaOrig="1359" w:dyaOrig="340" w14:anchorId="61B281FE">
                <v:shape id="_x0000_i1032" type="#_x0000_t75" style="width:68pt;height:17.65pt" o:ole="">
                  <v:imagedata r:id="rId22" o:title=""/>
                </v:shape>
                <o:OLEObject Type="Embed" ProgID="Equation.DSMT4" ShapeID="_x0000_i1032" DrawAspect="Content" ObjectID="_1568197449" r:id="rId23"/>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89EC18" w14:textId="77777777" w:rsidR="00A3033E" w:rsidRDefault="00A3033E" w:rsidP="00AD5F8B">
            <w:pPr>
              <w:pStyle w:val="TAC"/>
            </w:pPr>
            <w:r w:rsidRPr="008F3BE9">
              <w:rPr>
                <w:position w:val="-12"/>
              </w:rPr>
              <w:object w:dxaOrig="1359" w:dyaOrig="340" w14:anchorId="1831CB76">
                <v:shape id="_x0000_i1033" type="#_x0000_t75" style="width:68pt;height:17.65pt" o:ole="">
                  <v:imagedata r:id="rId24" o:title=""/>
                </v:shape>
                <o:OLEObject Type="Embed" ProgID="Equation.DSMT4" ShapeID="_x0000_i1033" DrawAspect="Content" ObjectID="_1568197450" r:id="rId25"/>
              </w:object>
            </w:r>
          </w:p>
        </w:tc>
        <w:tc>
          <w:tcPr>
            <w:tcW w:w="0" w:type="auto"/>
            <w:tcBorders>
              <w:top w:val="single" w:sz="4" w:space="0" w:color="auto"/>
              <w:left w:val="single" w:sz="4" w:space="0" w:color="auto"/>
              <w:bottom w:val="single" w:sz="4" w:space="0" w:color="auto"/>
              <w:right w:val="single" w:sz="4" w:space="0" w:color="auto"/>
            </w:tcBorders>
            <w:vAlign w:val="center"/>
          </w:tcPr>
          <w:p w14:paraId="58332FFB" w14:textId="77777777" w:rsidR="00A3033E" w:rsidRDefault="00A3033E" w:rsidP="00AD5F8B">
            <w:pPr>
              <w:pStyle w:val="TAC"/>
            </w:pPr>
            <w:r w:rsidRPr="00E653F9">
              <w:rPr>
                <w:position w:val="-10"/>
              </w:rPr>
              <w:object w:dxaOrig="720" w:dyaOrig="300" w14:anchorId="49572DB5">
                <v:shape id="_x0000_i1034" type="#_x0000_t75" style="width:37.1pt;height:15pt" o:ole="">
                  <v:imagedata r:id="rId26" o:title=""/>
                </v:shape>
                <o:OLEObject Type="Embed" ProgID="Equation.3" ShapeID="_x0000_i1034" DrawAspect="Content" ObjectID="_1568197451" r:id="rId27"/>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C4932A" w14:textId="77777777" w:rsidR="00A3033E" w:rsidRDefault="00A3033E" w:rsidP="00AD5F8B">
            <w:pPr>
              <w:pStyle w:val="TAC"/>
            </w:pPr>
            <w:r w:rsidRPr="008F3BE9">
              <w:rPr>
                <w:position w:val="-12"/>
              </w:rPr>
              <w:object w:dxaOrig="1359" w:dyaOrig="340" w14:anchorId="3081494E">
                <v:shape id="_x0000_i1035" type="#_x0000_t75" style="width:68pt;height:17.65pt" o:ole="">
                  <v:imagedata r:id="rId28" o:title=""/>
                </v:shape>
                <o:OLEObject Type="Embed" ProgID="Equation.DSMT4" ShapeID="_x0000_i1035" DrawAspect="Content" ObjectID="_1568197452" r:id="rId29"/>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4E8A14" w14:textId="77777777" w:rsidR="00A3033E" w:rsidRDefault="00A3033E" w:rsidP="00AD5F8B">
            <w:pPr>
              <w:pStyle w:val="TAC"/>
            </w:pPr>
            <w:r w:rsidRPr="008F3BE9">
              <w:rPr>
                <w:position w:val="-12"/>
              </w:rPr>
              <w:object w:dxaOrig="1359" w:dyaOrig="340" w14:anchorId="6AE5F2ED">
                <v:shape id="_x0000_i1036" type="#_x0000_t75" style="width:68pt;height:17.65pt" o:ole="">
                  <v:imagedata r:id="rId30" o:title=""/>
                </v:shape>
                <o:OLEObject Type="Embed" ProgID="Equation.DSMT4" ShapeID="_x0000_i1036" DrawAspect="Content" ObjectID="_1568197453" r:id="rId31"/>
              </w:object>
            </w:r>
          </w:p>
        </w:tc>
      </w:tr>
      <w:tr w:rsidR="00A3033E" w14:paraId="164C040D"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3928D675" w14:textId="77777777" w:rsidR="00A3033E" w:rsidRPr="00FA462F" w:rsidRDefault="00A3033E" w:rsidP="00AD5F8B">
            <w:pPr>
              <w:pStyle w:val="TAC"/>
            </w:pPr>
            <w:r w:rsidRPr="00FA462F">
              <w:t>1</w:t>
            </w:r>
          </w:p>
        </w:tc>
        <w:tc>
          <w:tcPr>
            <w:tcW w:w="0" w:type="auto"/>
            <w:tcBorders>
              <w:top w:val="single" w:sz="4" w:space="0" w:color="auto"/>
              <w:left w:val="single" w:sz="4" w:space="0" w:color="auto"/>
              <w:bottom w:val="single" w:sz="4" w:space="0" w:color="auto"/>
              <w:right w:val="single" w:sz="4" w:space="0" w:color="auto"/>
            </w:tcBorders>
            <w:vAlign w:val="center"/>
          </w:tcPr>
          <w:p w14:paraId="6EB80A9C" w14:textId="77777777" w:rsidR="00A3033E" w:rsidRDefault="00A3033E" w:rsidP="00AD5F8B">
            <w:pPr>
              <w:pStyle w:val="TAC"/>
            </w:pPr>
            <w:r w:rsidRPr="00E653F9">
              <w:rPr>
                <w:position w:val="-10"/>
              </w:rPr>
              <w:object w:dxaOrig="800" w:dyaOrig="300" w14:anchorId="12A553C7">
                <v:shape id="_x0000_i1037" type="#_x0000_t75" style="width:40.65pt;height:15pt" o:ole="">
                  <v:imagedata r:id="rId32" o:title=""/>
                </v:shape>
                <o:OLEObject Type="Embed" ProgID="Equation.3" ShapeID="_x0000_i1037" DrawAspect="Content" ObjectID="_1568197454" r:id="rId33"/>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257C0726"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22AF5AD"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1FC284" w14:textId="77777777" w:rsidR="00A3033E" w:rsidRDefault="00A3033E" w:rsidP="00AD5F8B">
            <w:pPr>
              <w:pStyle w:val="TAC"/>
            </w:pPr>
            <w:r w:rsidRPr="00E653F9">
              <w:rPr>
                <w:position w:val="-10"/>
              </w:rPr>
              <w:object w:dxaOrig="820" w:dyaOrig="300" w14:anchorId="6B8BBF80">
                <v:shape id="_x0000_i1038" type="#_x0000_t75" style="width:41.1pt;height:15pt" o:ole="">
                  <v:imagedata r:id="rId34" o:title=""/>
                </v:shape>
                <o:OLEObject Type="Embed" ProgID="Equation.3" ShapeID="_x0000_i1038" DrawAspect="Content" ObjectID="_1568197455" r:id="rId35"/>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0E762589"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58ABB9B" w14:textId="77777777" w:rsidR="00A3033E" w:rsidRDefault="00A3033E" w:rsidP="00AD5F8B">
            <w:pPr>
              <w:pStyle w:val="TAC"/>
            </w:pPr>
          </w:p>
        </w:tc>
      </w:tr>
      <w:tr w:rsidR="00A3033E" w14:paraId="3577D7CE"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7D4418EC" w14:textId="77777777" w:rsidR="00A3033E" w:rsidRPr="00FA462F" w:rsidRDefault="00A3033E" w:rsidP="00AD5F8B">
            <w:pPr>
              <w:pStyle w:val="TAC"/>
            </w:pPr>
            <w:r w:rsidRPr="00FA462F">
              <w:t>2</w:t>
            </w:r>
          </w:p>
        </w:tc>
        <w:tc>
          <w:tcPr>
            <w:tcW w:w="0" w:type="auto"/>
            <w:tcBorders>
              <w:top w:val="single" w:sz="4" w:space="0" w:color="auto"/>
              <w:left w:val="single" w:sz="4" w:space="0" w:color="auto"/>
              <w:bottom w:val="single" w:sz="4" w:space="0" w:color="auto"/>
              <w:right w:val="single" w:sz="4" w:space="0" w:color="auto"/>
            </w:tcBorders>
            <w:vAlign w:val="center"/>
          </w:tcPr>
          <w:p w14:paraId="387D0A66" w14:textId="77777777" w:rsidR="00A3033E" w:rsidRDefault="00A3033E" w:rsidP="00AD5F8B">
            <w:pPr>
              <w:pStyle w:val="TAC"/>
            </w:pPr>
            <w:r w:rsidRPr="00E653F9">
              <w:rPr>
                <w:position w:val="-10"/>
              </w:rPr>
              <w:object w:dxaOrig="820" w:dyaOrig="300" w14:anchorId="6B3E72E8">
                <v:shape id="_x0000_i1039" type="#_x0000_t75" style="width:41.1pt;height:15pt" o:ole="">
                  <v:imagedata r:id="rId36" o:title=""/>
                </v:shape>
                <o:OLEObject Type="Embed" ProgID="Equation.3" ShapeID="_x0000_i1039" DrawAspect="Content" ObjectID="_1568197456" r:id="rId37"/>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3004BDDA"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0F42305"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053F3" w14:textId="77777777" w:rsidR="00A3033E" w:rsidRDefault="00A3033E" w:rsidP="00AD5F8B">
            <w:pPr>
              <w:pStyle w:val="TAC"/>
            </w:pPr>
            <w:r w:rsidRPr="00E653F9">
              <w:rPr>
                <w:position w:val="-10"/>
              </w:rPr>
              <w:object w:dxaOrig="820" w:dyaOrig="300" w14:anchorId="55CB0D37">
                <v:shape id="_x0000_i1040" type="#_x0000_t75" style="width:41.1pt;height:15pt" o:ole="">
                  <v:imagedata r:id="rId38" o:title=""/>
                </v:shape>
                <o:OLEObject Type="Embed" ProgID="Equation.3" ShapeID="_x0000_i1040" DrawAspect="Content" ObjectID="_1568197457" r:id="rId39"/>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4ED18903"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7821BF8" w14:textId="77777777" w:rsidR="00A3033E" w:rsidRDefault="00A3033E" w:rsidP="00AD5F8B">
            <w:pPr>
              <w:pStyle w:val="TAC"/>
            </w:pPr>
          </w:p>
        </w:tc>
      </w:tr>
      <w:tr w:rsidR="00A3033E" w14:paraId="1E0D6D98"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519EC417" w14:textId="77777777" w:rsidR="00A3033E" w:rsidRPr="00FA462F" w:rsidRDefault="00A3033E" w:rsidP="00AD5F8B">
            <w:pPr>
              <w:pStyle w:val="TAC"/>
            </w:pPr>
            <w:r w:rsidRPr="00FA462F">
              <w:t>3</w:t>
            </w:r>
          </w:p>
        </w:tc>
        <w:tc>
          <w:tcPr>
            <w:tcW w:w="0" w:type="auto"/>
            <w:tcBorders>
              <w:top w:val="single" w:sz="4" w:space="0" w:color="auto"/>
              <w:left w:val="single" w:sz="4" w:space="0" w:color="auto"/>
              <w:bottom w:val="single" w:sz="4" w:space="0" w:color="auto"/>
              <w:right w:val="single" w:sz="4" w:space="0" w:color="auto"/>
            </w:tcBorders>
            <w:vAlign w:val="center"/>
          </w:tcPr>
          <w:p w14:paraId="52D5806B" w14:textId="77777777" w:rsidR="00A3033E" w:rsidRDefault="00A3033E" w:rsidP="00AD5F8B">
            <w:pPr>
              <w:pStyle w:val="TAC"/>
            </w:pPr>
            <w:r w:rsidRPr="00E653F9">
              <w:rPr>
                <w:position w:val="-10"/>
              </w:rPr>
              <w:object w:dxaOrig="820" w:dyaOrig="300" w14:anchorId="69C6D636">
                <v:shape id="_x0000_i1041" type="#_x0000_t75" style="width:41.1pt;height:15pt" o:ole="">
                  <v:imagedata r:id="rId40" o:title=""/>
                </v:shape>
                <o:OLEObject Type="Embed" ProgID="Equation.3" ShapeID="_x0000_i1041" DrawAspect="Content" ObjectID="_1568197458" r:id="rId41"/>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63AC6F72"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93C5BCD"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ABD2F" w14:textId="77777777" w:rsidR="00A3033E" w:rsidRDefault="00A3033E" w:rsidP="00AD5F8B">
            <w:pPr>
              <w:pStyle w:val="TAC"/>
            </w:pPr>
            <w:r w:rsidRPr="00E653F9">
              <w:rPr>
                <w:position w:val="-10"/>
              </w:rPr>
              <w:object w:dxaOrig="820" w:dyaOrig="300" w14:anchorId="0C14D0A7">
                <v:shape id="_x0000_i1042" type="#_x0000_t75" style="width:41.1pt;height:15pt" o:ole="">
                  <v:imagedata r:id="rId42" o:title=""/>
                </v:shape>
                <o:OLEObject Type="Embed" ProgID="Equation.3" ShapeID="_x0000_i1042" DrawAspect="Content" ObjectID="_1568197459" r:id="rId43"/>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0A589BA1"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4572404" w14:textId="77777777" w:rsidR="00A3033E" w:rsidRDefault="00A3033E" w:rsidP="00AD5F8B">
            <w:pPr>
              <w:pStyle w:val="TAC"/>
            </w:pPr>
          </w:p>
        </w:tc>
      </w:tr>
      <w:tr w:rsidR="00A3033E" w14:paraId="384F3DF0"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04322648" w14:textId="77777777" w:rsidR="00A3033E" w:rsidRPr="00FA462F" w:rsidRDefault="00A3033E" w:rsidP="00AD5F8B">
            <w:pPr>
              <w:pStyle w:val="TAC"/>
            </w:pPr>
            <w:r w:rsidRPr="00FA462F">
              <w:t>4</w:t>
            </w:r>
          </w:p>
        </w:tc>
        <w:tc>
          <w:tcPr>
            <w:tcW w:w="0" w:type="auto"/>
            <w:tcBorders>
              <w:top w:val="single" w:sz="4" w:space="0" w:color="auto"/>
              <w:left w:val="single" w:sz="4" w:space="0" w:color="auto"/>
              <w:bottom w:val="single" w:sz="4" w:space="0" w:color="auto"/>
              <w:right w:val="single" w:sz="4" w:space="0" w:color="auto"/>
            </w:tcBorders>
            <w:vAlign w:val="center"/>
          </w:tcPr>
          <w:p w14:paraId="12F34544" w14:textId="77777777" w:rsidR="00A3033E" w:rsidRDefault="00A3033E" w:rsidP="00AD5F8B">
            <w:pPr>
              <w:pStyle w:val="TAC"/>
            </w:pPr>
            <w:r w:rsidRPr="00E653F9">
              <w:rPr>
                <w:position w:val="-10"/>
              </w:rPr>
              <w:object w:dxaOrig="820" w:dyaOrig="300" w14:anchorId="159553E3">
                <v:shape id="_x0000_i1043" type="#_x0000_t75" style="width:41.25pt;height:15pt" o:ole="">
                  <v:imagedata r:id="rId44" o:title=""/>
                </v:shape>
                <o:OLEObject Type="Embed" ProgID="Equation.3" ShapeID="_x0000_i1043" DrawAspect="Content" ObjectID="_1568197460" r:id="rId45"/>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19B50285"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02E605D"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3A488" w14:textId="77777777" w:rsidR="00A3033E" w:rsidRDefault="00A3033E" w:rsidP="00AD5F8B">
            <w:pPr>
              <w:pStyle w:val="TAC"/>
            </w:pPr>
            <w:r w:rsidRPr="00E653F9">
              <w:rPr>
                <w:position w:val="-10"/>
              </w:rPr>
              <w:object w:dxaOrig="720" w:dyaOrig="300" w14:anchorId="1CBFEE4E">
                <v:shape id="_x0000_i1044" type="#_x0000_t75" style="width:37.15pt;height:15pt" o:ole="">
                  <v:imagedata r:id="rId46" o:title=""/>
                </v:shape>
                <o:OLEObject Type="Embed" ProgID="Equation.3" ShapeID="_x0000_i1044" DrawAspect="Content" ObjectID="_1568197461" r:id="rId47"/>
              </w:object>
            </w:r>
          </w:p>
        </w:tc>
        <w:tc>
          <w:tcPr>
            <w:tcW w:w="0" w:type="auto"/>
            <w:vMerge w:val="restart"/>
            <w:tcBorders>
              <w:top w:val="single" w:sz="4" w:space="0" w:color="auto"/>
              <w:left w:val="single" w:sz="4" w:space="0" w:color="auto"/>
              <w:right w:val="single" w:sz="4" w:space="0" w:color="auto"/>
            </w:tcBorders>
            <w:vAlign w:val="center"/>
          </w:tcPr>
          <w:p w14:paraId="3E3BB997" w14:textId="77777777" w:rsidR="00A3033E" w:rsidRDefault="00A3033E" w:rsidP="00AD5F8B">
            <w:pPr>
              <w:pStyle w:val="TAC"/>
              <w:rPr>
                <w:lang w:eastAsia="zh-CN"/>
              </w:rPr>
            </w:pPr>
            <w:r w:rsidRPr="008F3BE9">
              <w:rPr>
                <w:position w:val="-12"/>
              </w:rPr>
              <w:object w:dxaOrig="1400" w:dyaOrig="340" w14:anchorId="0A25DAB7">
                <v:shape id="_x0000_i1045" type="#_x0000_t75" style="width:70.5pt;height:17.65pt" o:ole="">
                  <v:imagedata r:id="rId48" o:title=""/>
                </v:shape>
                <o:OLEObject Type="Embed" ProgID="Equation.DSMT4" ShapeID="_x0000_i1045" DrawAspect="Content" ObjectID="_1568197462" r:id="rId49"/>
              </w:object>
            </w:r>
          </w:p>
        </w:tc>
        <w:tc>
          <w:tcPr>
            <w:tcW w:w="0" w:type="auto"/>
            <w:vMerge w:val="restart"/>
            <w:tcBorders>
              <w:top w:val="single" w:sz="4" w:space="0" w:color="auto"/>
              <w:left w:val="single" w:sz="4" w:space="0" w:color="auto"/>
              <w:right w:val="single" w:sz="4" w:space="0" w:color="auto"/>
            </w:tcBorders>
            <w:vAlign w:val="center"/>
          </w:tcPr>
          <w:p w14:paraId="144BBAF0" w14:textId="77777777" w:rsidR="00A3033E" w:rsidRDefault="00A3033E" w:rsidP="00AD5F8B">
            <w:pPr>
              <w:pStyle w:val="TAC"/>
            </w:pPr>
            <w:r w:rsidRPr="008F3BE9">
              <w:rPr>
                <w:position w:val="-12"/>
              </w:rPr>
              <w:object w:dxaOrig="1400" w:dyaOrig="340" w14:anchorId="694450AE">
                <v:shape id="_x0000_i1046" type="#_x0000_t75" style="width:70.5pt;height:17.65pt" o:ole="">
                  <v:imagedata r:id="rId50" o:title=""/>
                </v:shape>
                <o:OLEObject Type="Embed" ProgID="Equation.DSMT4" ShapeID="_x0000_i1046" DrawAspect="Content" ObjectID="_1568197463" r:id="rId51"/>
              </w:object>
            </w:r>
          </w:p>
        </w:tc>
      </w:tr>
      <w:tr w:rsidR="00A3033E" w:rsidRPr="00E653F9" w14:paraId="04F57546"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5307F53B" w14:textId="77777777" w:rsidR="00A3033E" w:rsidRPr="00FA462F" w:rsidRDefault="00A3033E" w:rsidP="00AD5F8B">
            <w:pPr>
              <w:pStyle w:val="TAC"/>
            </w:pPr>
            <w:r w:rsidRPr="00FA462F">
              <w:t>5</w:t>
            </w:r>
          </w:p>
        </w:tc>
        <w:tc>
          <w:tcPr>
            <w:tcW w:w="0" w:type="auto"/>
            <w:tcBorders>
              <w:top w:val="single" w:sz="4" w:space="0" w:color="auto"/>
              <w:left w:val="single" w:sz="4" w:space="0" w:color="auto"/>
              <w:bottom w:val="single" w:sz="4" w:space="0" w:color="auto"/>
              <w:right w:val="single" w:sz="4" w:space="0" w:color="auto"/>
            </w:tcBorders>
            <w:vAlign w:val="center"/>
          </w:tcPr>
          <w:p w14:paraId="7357B87D" w14:textId="77777777" w:rsidR="00A3033E" w:rsidRDefault="00A3033E" w:rsidP="00AD5F8B">
            <w:pPr>
              <w:pStyle w:val="TAC"/>
            </w:pPr>
            <w:r w:rsidRPr="00E653F9">
              <w:rPr>
                <w:position w:val="-10"/>
              </w:rPr>
              <w:object w:dxaOrig="720" w:dyaOrig="300" w14:anchorId="7CD817DF">
                <v:shape id="_x0000_i1047" type="#_x0000_t75" style="width:36.75pt;height:15pt" o:ole="">
                  <v:imagedata r:id="rId52" o:title=""/>
                </v:shape>
                <o:OLEObject Type="Embed" ProgID="Equation.3" ShapeID="_x0000_i1047" DrawAspect="Content" ObjectID="_1568197464" r:id="rId53"/>
              </w:object>
            </w:r>
          </w:p>
        </w:tc>
        <w:tc>
          <w:tcPr>
            <w:tcW w:w="0" w:type="auto"/>
            <w:vMerge w:val="restart"/>
            <w:tcBorders>
              <w:top w:val="single" w:sz="4" w:space="0" w:color="auto"/>
              <w:left w:val="single" w:sz="4" w:space="0" w:color="auto"/>
              <w:right w:val="single" w:sz="4" w:space="0" w:color="auto"/>
            </w:tcBorders>
            <w:vAlign w:val="center"/>
          </w:tcPr>
          <w:p w14:paraId="074D8E5F" w14:textId="77777777" w:rsidR="00A3033E" w:rsidRDefault="00A3033E" w:rsidP="00AD5F8B">
            <w:pPr>
              <w:pStyle w:val="TAC"/>
            </w:pPr>
            <w:r w:rsidRPr="008F3BE9">
              <w:rPr>
                <w:position w:val="-12"/>
              </w:rPr>
              <w:object w:dxaOrig="1400" w:dyaOrig="340" w14:anchorId="0918BF19">
                <v:shape id="_x0000_i1048" type="#_x0000_t75" style="width:69.75pt;height:16.9pt" o:ole="">
                  <v:imagedata r:id="rId54" o:title=""/>
                </v:shape>
                <o:OLEObject Type="Embed" ProgID="Equation.DSMT4" ShapeID="_x0000_i1048" DrawAspect="Content" ObjectID="_1568197465" r:id="rId55"/>
              </w:object>
            </w:r>
          </w:p>
        </w:tc>
        <w:tc>
          <w:tcPr>
            <w:tcW w:w="0" w:type="auto"/>
            <w:vMerge w:val="restart"/>
            <w:tcBorders>
              <w:top w:val="single" w:sz="4" w:space="0" w:color="auto"/>
              <w:left w:val="single" w:sz="4" w:space="0" w:color="auto"/>
              <w:right w:val="single" w:sz="4" w:space="0" w:color="auto"/>
            </w:tcBorders>
            <w:vAlign w:val="center"/>
          </w:tcPr>
          <w:p w14:paraId="455B88D6" w14:textId="77777777" w:rsidR="00A3033E" w:rsidRPr="00F1305E" w:rsidRDefault="00A3033E" w:rsidP="00AD5F8B">
            <w:pPr>
              <w:pStyle w:val="TAC"/>
              <w:rPr>
                <w:rFonts w:eastAsia="宋体"/>
                <w:lang w:eastAsia="zh-CN"/>
              </w:rPr>
            </w:pPr>
            <w:r w:rsidRPr="008F3BE9">
              <w:rPr>
                <w:position w:val="-12"/>
              </w:rPr>
              <w:object w:dxaOrig="1400" w:dyaOrig="340" w14:anchorId="1567E9F1">
                <v:shape id="_x0000_i1049" type="#_x0000_t75" style="width:69.75pt;height:16.9pt" o:ole="">
                  <v:imagedata r:id="rId56" o:title=""/>
                </v:shape>
                <o:OLEObject Type="Embed" ProgID="Equation.DSMT4" ShapeID="_x0000_i1049" DrawAspect="Content" ObjectID="_1568197466" r:id="rId57"/>
              </w:object>
            </w:r>
          </w:p>
        </w:tc>
        <w:tc>
          <w:tcPr>
            <w:tcW w:w="0" w:type="auto"/>
            <w:tcBorders>
              <w:top w:val="single" w:sz="4" w:space="0" w:color="auto"/>
              <w:left w:val="single" w:sz="4" w:space="0" w:color="auto"/>
              <w:bottom w:val="single" w:sz="4" w:space="0" w:color="auto"/>
              <w:right w:val="single" w:sz="4" w:space="0" w:color="auto"/>
            </w:tcBorders>
            <w:vAlign w:val="center"/>
          </w:tcPr>
          <w:p w14:paraId="639D47AA" w14:textId="77777777" w:rsidR="00A3033E" w:rsidRDefault="00A3033E" w:rsidP="00AD5F8B">
            <w:pPr>
              <w:pStyle w:val="TAC"/>
            </w:pPr>
            <w:r w:rsidRPr="00E653F9">
              <w:rPr>
                <w:position w:val="-10"/>
              </w:rPr>
              <w:object w:dxaOrig="820" w:dyaOrig="300" w14:anchorId="4E867D72">
                <v:shape id="_x0000_i1050" type="#_x0000_t75" style="width:41.25pt;height:15pt" o:ole="">
                  <v:imagedata r:id="rId58" o:title=""/>
                </v:shape>
                <o:OLEObject Type="Embed" ProgID="Equation.3" ShapeID="_x0000_i1050" DrawAspect="Content" ObjectID="_1568197467" r:id="rId59"/>
              </w:object>
            </w:r>
          </w:p>
        </w:tc>
        <w:tc>
          <w:tcPr>
            <w:tcW w:w="0" w:type="auto"/>
            <w:vMerge/>
            <w:tcBorders>
              <w:left w:val="single" w:sz="4" w:space="0" w:color="auto"/>
              <w:right w:val="single" w:sz="4" w:space="0" w:color="auto"/>
            </w:tcBorders>
            <w:vAlign w:val="center"/>
          </w:tcPr>
          <w:p w14:paraId="23D3415E"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7A7F693E" w14:textId="77777777" w:rsidR="00A3033E" w:rsidRDefault="00A3033E" w:rsidP="00AD5F8B">
            <w:pPr>
              <w:pStyle w:val="TAC"/>
            </w:pPr>
          </w:p>
        </w:tc>
      </w:tr>
      <w:tr w:rsidR="00A3033E" w:rsidRPr="00E653F9" w14:paraId="563F125D"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57A0BABF" w14:textId="77777777" w:rsidR="00A3033E" w:rsidRPr="00FA462F" w:rsidRDefault="00A3033E" w:rsidP="00AD5F8B">
            <w:pPr>
              <w:pStyle w:val="TAC"/>
            </w:pPr>
            <w:r w:rsidRPr="00FA462F">
              <w:t>6</w:t>
            </w:r>
          </w:p>
        </w:tc>
        <w:tc>
          <w:tcPr>
            <w:tcW w:w="0" w:type="auto"/>
            <w:tcBorders>
              <w:top w:val="single" w:sz="4" w:space="0" w:color="auto"/>
              <w:left w:val="single" w:sz="4" w:space="0" w:color="auto"/>
              <w:bottom w:val="single" w:sz="4" w:space="0" w:color="auto"/>
              <w:right w:val="single" w:sz="4" w:space="0" w:color="auto"/>
            </w:tcBorders>
            <w:vAlign w:val="center"/>
          </w:tcPr>
          <w:p w14:paraId="4C2913B1" w14:textId="77777777" w:rsidR="00A3033E" w:rsidRDefault="00A3033E" w:rsidP="00AD5F8B">
            <w:pPr>
              <w:pStyle w:val="TAC"/>
            </w:pPr>
            <w:r w:rsidRPr="00E653F9">
              <w:rPr>
                <w:position w:val="-10"/>
              </w:rPr>
              <w:object w:dxaOrig="800" w:dyaOrig="300" w14:anchorId="18874F6A">
                <v:shape id="_x0000_i1051" type="#_x0000_t75" style="width:40.15pt;height:15pt" o:ole="">
                  <v:imagedata r:id="rId60" o:title=""/>
                </v:shape>
                <o:OLEObject Type="Embed" ProgID="Equation.3" ShapeID="_x0000_i1051" DrawAspect="Content" ObjectID="_1568197468" r:id="rId61"/>
              </w:object>
            </w:r>
          </w:p>
        </w:tc>
        <w:tc>
          <w:tcPr>
            <w:tcW w:w="0" w:type="auto"/>
            <w:vMerge/>
            <w:tcBorders>
              <w:left w:val="single" w:sz="4" w:space="0" w:color="auto"/>
              <w:right w:val="single" w:sz="4" w:space="0" w:color="auto"/>
            </w:tcBorders>
            <w:vAlign w:val="center"/>
          </w:tcPr>
          <w:p w14:paraId="5EE55320"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1EB2ED0F"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D2AA5" w14:textId="77777777" w:rsidR="00A3033E" w:rsidRDefault="00A3033E" w:rsidP="00AD5F8B">
            <w:pPr>
              <w:pStyle w:val="TAC"/>
            </w:pPr>
            <w:r w:rsidRPr="00E653F9">
              <w:rPr>
                <w:position w:val="-10"/>
              </w:rPr>
              <w:object w:dxaOrig="820" w:dyaOrig="300" w14:anchorId="19FE568C">
                <v:shape id="_x0000_i1052" type="#_x0000_t75" style="width:41.25pt;height:15pt" o:ole="">
                  <v:imagedata r:id="rId38" o:title=""/>
                </v:shape>
                <o:OLEObject Type="Embed" ProgID="Equation.3" ShapeID="_x0000_i1052" DrawAspect="Content" ObjectID="_1568197469" r:id="rId62"/>
              </w:object>
            </w:r>
          </w:p>
        </w:tc>
        <w:tc>
          <w:tcPr>
            <w:tcW w:w="0" w:type="auto"/>
            <w:vMerge/>
            <w:tcBorders>
              <w:left w:val="single" w:sz="4" w:space="0" w:color="auto"/>
              <w:right w:val="single" w:sz="4" w:space="0" w:color="auto"/>
            </w:tcBorders>
            <w:vAlign w:val="center"/>
          </w:tcPr>
          <w:p w14:paraId="3299DFBF"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54297A20" w14:textId="77777777" w:rsidR="00A3033E" w:rsidRDefault="00A3033E" w:rsidP="00AD5F8B">
            <w:pPr>
              <w:pStyle w:val="TAC"/>
            </w:pPr>
          </w:p>
        </w:tc>
      </w:tr>
      <w:tr w:rsidR="00A3033E" w:rsidRPr="00E653F9" w14:paraId="565C7993"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4CB05379" w14:textId="77777777" w:rsidR="00A3033E" w:rsidRPr="00FA462F" w:rsidRDefault="00A3033E" w:rsidP="00AD5F8B">
            <w:pPr>
              <w:pStyle w:val="TAC"/>
            </w:pPr>
            <w:r w:rsidRPr="00FA462F">
              <w:t>7</w:t>
            </w:r>
          </w:p>
        </w:tc>
        <w:tc>
          <w:tcPr>
            <w:tcW w:w="0" w:type="auto"/>
            <w:tcBorders>
              <w:top w:val="single" w:sz="4" w:space="0" w:color="auto"/>
              <w:left w:val="single" w:sz="4" w:space="0" w:color="auto"/>
              <w:bottom w:val="single" w:sz="4" w:space="0" w:color="auto"/>
              <w:right w:val="single" w:sz="4" w:space="0" w:color="auto"/>
            </w:tcBorders>
            <w:vAlign w:val="center"/>
          </w:tcPr>
          <w:p w14:paraId="237F330F" w14:textId="77777777" w:rsidR="00A3033E" w:rsidRDefault="00A3033E" w:rsidP="00AD5F8B">
            <w:pPr>
              <w:pStyle w:val="TAC"/>
            </w:pPr>
            <w:r w:rsidRPr="00E653F9">
              <w:rPr>
                <w:position w:val="-10"/>
              </w:rPr>
              <w:object w:dxaOrig="820" w:dyaOrig="300" w14:anchorId="4D4B05CF">
                <v:shape id="_x0000_i1053" type="#_x0000_t75" style="width:41.25pt;height:15pt" o:ole="">
                  <v:imagedata r:id="rId63" o:title=""/>
                </v:shape>
                <o:OLEObject Type="Embed" ProgID="Equation.3" ShapeID="_x0000_i1053" DrawAspect="Content" ObjectID="_1568197470" r:id="rId64"/>
              </w:object>
            </w:r>
          </w:p>
        </w:tc>
        <w:tc>
          <w:tcPr>
            <w:tcW w:w="0" w:type="auto"/>
            <w:vMerge/>
            <w:tcBorders>
              <w:left w:val="single" w:sz="4" w:space="0" w:color="auto"/>
              <w:right w:val="single" w:sz="4" w:space="0" w:color="auto"/>
            </w:tcBorders>
            <w:vAlign w:val="center"/>
          </w:tcPr>
          <w:p w14:paraId="61D681B7"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7D3B3D51"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4595" w14:textId="77777777" w:rsidR="00A3033E" w:rsidRDefault="00A3033E" w:rsidP="00AD5F8B">
            <w:pPr>
              <w:pStyle w:val="TAC"/>
            </w:pPr>
            <w:r w:rsidRPr="00E653F9">
              <w:rPr>
                <w:position w:val="-10"/>
              </w:rPr>
              <w:object w:dxaOrig="780" w:dyaOrig="300" w14:anchorId="522AC4F1">
                <v:shape id="_x0000_i1054" type="#_x0000_t75" style="width:38.65pt;height:15pt" o:ole="">
                  <v:imagedata r:id="rId65" o:title=""/>
                </v:shape>
                <o:OLEObject Type="Embed" ProgID="Equation.DSMT4" ShapeID="_x0000_i1054" DrawAspect="Content" ObjectID="_1568197471" r:id="rId66"/>
              </w:object>
            </w:r>
          </w:p>
        </w:tc>
        <w:tc>
          <w:tcPr>
            <w:tcW w:w="0" w:type="auto"/>
            <w:vMerge/>
            <w:tcBorders>
              <w:left w:val="single" w:sz="4" w:space="0" w:color="auto"/>
              <w:bottom w:val="single" w:sz="4" w:space="0" w:color="auto"/>
              <w:right w:val="single" w:sz="4" w:space="0" w:color="auto"/>
            </w:tcBorders>
            <w:vAlign w:val="center"/>
          </w:tcPr>
          <w:p w14:paraId="3FF65A64" w14:textId="77777777" w:rsidR="00A3033E" w:rsidRDefault="00A3033E" w:rsidP="00AD5F8B">
            <w:pPr>
              <w:pStyle w:val="TAC"/>
            </w:pPr>
          </w:p>
        </w:tc>
        <w:tc>
          <w:tcPr>
            <w:tcW w:w="0" w:type="auto"/>
            <w:vMerge/>
            <w:tcBorders>
              <w:left w:val="single" w:sz="4" w:space="0" w:color="auto"/>
              <w:bottom w:val="single" w:sz="4" w:space="0" w:color="auto"/>
              <w:right w:val="single" w:sz="4" w:space="0" w:color="auto"/>
            </w:tcBorders>
            <w:vAlign w:val="center"/>
          </w:tcPr>
          <w:p w14:paraId="68F6926E" w14:textId="77777777" w:rsidR="00A3033E" w:rsidRDefault="00A3033E" w:rsidP="00AD5F8B">
            <w:pPr>
              <w:pStyle w:val="TAC"/>
            </w:pPr>
          </w:p>
        </w:tc>
      </w:tr>
      <w:tr w:rsidR="00A3033E" w:rsidRPr="00E653F9" w14:paraId="7E7712DF"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34B0E0A8" w14:textId="77777777" w:rsidR="00A3033E" w:rsidRPr="00FA462F" w:rsidRDefault="00A3033E" w:rsidP="00AD5F8B">
            <w:pPr>
              <w:pStyle w:val="TAC"/>
            </w:pPr>
            <w:r w:rsidRPr="00FA462F">
              <w:t>8</w:t>
            </w:r>
          </w:p>
        </w:tc>
        <w:tc>
          <w:tcPr>
            <w:tcW w:w="0" w:type="auto"/>
            <w:tcBorders>
              <w:top w:val="single" w:sz="4" w:space="0" w:color="auto"/>
              <w:left w:val="single" w:sz="4" w:space="0" w:color="auto"/>
              <w:bottom w:val="single" w:sz="4" w:space="0" w:color="auto"/>
              <w:right w:val="single" w:sz="4" w:space="0" w:color="auto"/>
            </w:tcBorders>
            <w:vAlign w:val="center"/>
          </w:tcPr>
          <w:p w14:paraId="00A76839" w14:textId="77777777" w:rsidR="00A3033E" w:rsidRDefault="00A3033E" w:rsidP="00AD5F8B">
            <w:pPr>
              <w:pStyle w:val="TAC"/>
            </w:pPr>
            <w:r w:rsidRPr="00E653F9">
              <w:rPr>
                <w:position w:val="-10"/>
              </w:rPr>
              <w:object w:dxaOrig="820" w:dyaOrig="300" w14:anchorId="4DD23D39">
                <v:shape id="_x0000_i1055" type="#_x0000_t75" style="width:41.25pt;height:15pt" o:ole="">
                  <v:imagedata r:id="rId40" o:title=""/>
                </v:shape>
                <o:OLEObject Type="Embed" ProgID="Equation.3" ShapeID="_x0000_i1055" DrawAspect="Content" ObjectID="_1568197472" r:id="rId67"/>
              </w:object>
            </w:r>
          </w:p>
        </w:tc>
        <w:tc>
          <w:tcPr>
            <w:tcW w:w="0" w:type="auto"/>
            <w:vMerge/>
            <w:tcBorders>
              <w:left w:val="single" w:sz="4" w:space="0" w:color="auto"/>
              <w:right w:val="single" w:sz="4" w:space="0" w:color="auto"/>
            </w:tcBorders>
            <w:vAlign w:val="center"/>
          </w:tcPr>
          <w:p w14:paraId="3156085B"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4C8B66FF"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B251C"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FCB6496"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8DE97EC" w14:textId="77777777" w:rsidR="00A3033E" w:rsidRDefault="00A3033E" w:rsidP="00AD5F8B">
            <w:pPr>
              <w:pStyle w:val="TAC"/>
            </w:pPr>
            <w:r>
              <w:t>-</w:t>
            </w:r>
          </w:p>
        </w:tc>
      </w:tr>
      <w:tr w:rsidR="00A3033E" w:rsidRPr="00E653F9" w14:paraId="122AF203"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391BE28F" w14:textId="77777777" w:rsidR="00A3033E" w:rsidRPr="00FA462F" w:rsidRDefault="00A3033E" w:rsidP="00AD5F8B">
            <w:pPr>
              <w:pStyle w:val="TAC"/>
              <w:rPr>
                <w:lang w:eastAsia="zh-CN"/>
              </w:rPr>
            </w:pPr>
            <w:r>
              <w:rPr>
                <w:rFonts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DCF50DA" w14:textId="77777777" w:rsidR="00A3033E" w:rsidRDefault="00A3033E" w:rsidP="00AD5F8B">
            <w:pPr>
              <w:pStyle w:val="TAC"/>
            </w:pPr>
            <w:r w:rsidRPr="00E653F9">
              <w:rPr>
                <w:position w:val="-10"/>
              </w:rPr>
              <w:object w:dxaOrig="760" w:dyaOrig="300" w14:anchorId="15838E39">
                <v:shape id="_x0000_i1056" type="#_x0000_t75" style="width:38.65pt;height:15pt" o:ole="">
                  <v:imagedata r:id="rId68" o:title=""/>
                </v:shape>
                <o:OLEObject Type="Embed" ProgID="Equation.DSMT4" ShapeID="_x0000_i1056" DrawAspect="Content" ObjectID="_1568197473" r:id="rId69"/>
              </w:object>
            </w:r>
          </w:p>
        </w:tc>
        <w:tc>
          <w:tcPr>
            <w:tcW w:w="0" w:type="auto"/>
            <w:vMerge/>
            <w:tcBorders>
              <w:left w:val="single" w:sz="4" w:space="0" w:color="auto"/>
              <w:bottom w:val="single" w:sz="4" w:space="0" w:color="auto"/>
              <w:right w:val="single" w:sz="4" w:space="0" w:color="auto"/>
            </w:tcBorders>
            <w:vAlign w:val="center"/>
          </w:tcPr>
          <w:p w14:paraId="155DB149" w14:textId="77777777" w:rsidR="00A3033E" w:rsidRDefault="00A3033E" w:rsidP="00AD5F8B">
            <w:pPr>
              <w:pStyle w:val="TAC"/>
            </w:pPr>
          </w:p>
        </w:tc>
        <w:tc>
          <w:tcPr>
            <w:tcW w:w="0" w:type="auto"/>
            <w:vMerge/>
            <w:tcBorders>
              <w:left w:val="single" w:sz="4" w:space="0" w:color="auto"/>
              <w:bottom w:val="single" w:sz="4" w:space="0" w:color="auto"/>
              <w:right w:val="single" w:sz="4" w:space="0" w:color="auto"/>
            </w:tcBorders>
            <w:vAlign w:val="center"/>
          </w:tcPr>
          <w:p w14:paraId="4666FB2F"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F26B8"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7B3D4937"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792EC43B" w14:textId="77777777" w:rsidR="00A3033E" w:rsidRDefault="00A3033E" w:rsidP="00AD5F8B">
            <w:pPr>
              <w:pStyle w:val="TAC"/>
            </w:pPr>
            <w:r>
              <w:t>-</w:t>
            </w:r>
          </w:p>
        </w:tc>
      </w:tr>
      <w:tr w:rsidR="00A3033E" w:rsidRPr="00E653F9" w14:paraId="3B2F235F" w14:textId="77777777" w:rsidTr="00AD5F8B">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14:paraId="14932A32" w14:textId="77777777" w:rsidR="00A3033E" w:rsidRDefault="00A3033E" w:rsidP="00AD5F8B">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C6701E" w14:textId="77777777" w:rsidR="00A3033E" w:rsidRDefault="00A3033E" w:rsidP="00AD5F8B">
            <w:pPr>
              <w:pStyle w:val="TAC"/>
            </w:pPr>
            <w:r>
              <w:rPr>
                <w:position w:val="-10"/>
              </w:rPr>
              <w:object w:dxaOrig="765" w:dyaOrig="300" w14:anchorId="72F3E45D">
                <v:shape id="_x0000_i1057" type="#_x0000_t75" style="width:39pt;height:15pt" o:ole="">
                  <v:imagedata r:id="rId68" o:title=""/>
                </v:shape>
                <o:OLEObject Type="Embed" ProgID="Equation.DSMT4" ShapeID="_x0000_i1057" DrawAspect="Content" ObjectID="_1568197474" r:id="rId70"/>
              </w:object>
            </w:r>
          </w:p>
        </w:tc>
        <w:tc>
          <w:tcPr>
            <w:tcW w:w="0" w:type="auto"/>
            <w:tcBorders>
              <w:top w:val="single" w:sz="4" w:space="0" w:color="auto"/>
              <w:left w:val="single" w:sz="4" w:space="0" w:color="auto"/>
              <w:bottom w:val="single" w:sz="4" w:space="0" w:color="auto"/>
              <w:right w:val="single" w:sz="4" w:space="0" w:color="auto"/>
            </w:tcBorders>
            <w:vAlign w:val="center"/>
          </w:tcPr>
          <w:p w14:paraId="13C81255" w14:textId="77777777" w:rsidR="00A3033E" w:rsidRDefault="00A3033E" w:rsidP="00AD5F8B">
            <w:pPr>
              <w:pStyle w:val="TAC"/>
            </w:pPr>
            <w:r>
              <w:rPr>
                <w:position w:val="-10"/>
              </w:rPr>
              <w:object w:dxaOrig="825" w:dyaOrig="300" w14:anchorId="118CC4D1">
                <v:shape id="_x0000_i1058" type="#_x0000_t75" style="width:41.65pt;height:15pt" o:ole="">
                  <v:imagedata r:id="rId71" o:title=""/>
                </v:shape>
                <o:OLEObject Type="Embed" ProgID="Equation.3" ShapeID="_x0000_i1058" DrawAspect="Content" ObjectID="_1568197475" r:id="rId72"/>
              </w:object>
            </w:r>
          </w:p>
        </w:tc>
        <w:tc>
          <w:tcPr>
            <w:tcW w:w="0" w:type="auto"/>
            <w:tcBorders>
              <w:top w:val="single" w:sz="4" w:space="0" w:color="auto"/>
              <w:left w:val="single" w:sz="4" w:space="0" w:color="auto"/>
              <w:bottom w:val="single" w:sz="4" w:space="0" w:color="auto"/>
              <w:right w:val="single" w:sz="4" w:space="0" w:color="auto"/>
            </w:tcBorders>
            <w:vAlign w:val="center"/>
          </w:tcPr>
          <w:p w14:paraId="7D73FBDA" w14:textId="77777777" w:rsidR="00A3033E" w:rsidRDefault="00A3033E" w:rsidP="00AD5F8B">
            <w:pPr>
              <w:pStyle w:val="TAC"/>
            </w:pPr>
            <w:r>
              <w:rPr>
                <w:position w:val="-10"/>
              </w:rPr>
              <w:object w:dxaOrig="825" w:dyaOrig="300" w14:anchorId="60673128">
                <v:shape id="_x0000_i1059" type="#_x0000_t75" style="width:41.65pt;height:15pt" o:ole="">
                  <v:imagedata r:id="rId73" o:title=""/>
                </v:shape>
                <o:OLEObject Type="Embed" ProgID="Equation.3" ShapeID="_x0000_i1059" DrawAspect="Content" ObjectID="_1568197476" r:id="rId74"/>
              </w:object>
            </w:r>
          </w:p>
        </w:tc>
        <w:tc>
          <w:tcPr>
            <w:tcW w:w="0" w:type="auto"/>
            <w:tcBorders>
              <w:top w:val="single" w:sz="4" w:space="0" w:color="auto"/>
              <w:left w:val="single" w:sz="4" w:space="0" w:color="auto"/>
              <w:bottom w:val="single" w:sz="4" w:space="0" w:color="auto"/>
              <w:right w:val="single" w:sz="4" w:space="0" w:color="auto"/>
            </w:tcBorders>
            <w:vAlign w:val="center"/>
          </w:tcPr>
          <w:p w14:paraId="6591C424"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41E9323"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43FF7B6F" w14:textId="77777777" w:rsidR="00A3033E" w:rsidRDefault="00A3033E" w:rsidP="00AD5F8B">
            <w:pPr>
              <w:pStyle w:val="TAC"/>
            </w:pPr>
            <w:r>
              <w:t>-</w:t>
            </w:r>
          </w:p>
        </w:tc>
      </w:tr>
    </w:tbl>
    <w:p w14:paraId="09282F17" w14:textId="77777777" w:rsidR="00612DF5" w:rsidRPr="00F407C3" w:rsidRDefault="00612DF5" w:rsidP="00124816">
      <w:pPr>
        <w:jc w:val="left"/>
        <w:rPr>
          <w:rFonts w:eastAsia="宋体"/>
          <w:lang w:val="en-US" w:eastAsia="zh-CN"/>
        </w:rPr>
      </w:pPr>
    </w:p>
    <w:p w14:paraId="2B222E4D" w14:textId="6DF4B59B" w:rsidR="002E7CB0" w:rsidRDefault="002E7CB0" w:rsidP="002E7CB0">
      <w:pPr>
        <w:rPr>
          <w:rFonts w:eastAsia="宋体"/>
          <w:b/>
          <w:lang w:val="en-US" w:eastAsia="zh-CN"/>
        </w:rPr>
      </w:pPr>
      <w:r w:rsidRPr="00E41FED">
        <w:rPr>
          <w:b/>
          <w:lang w:val="en-US"/>
        </w:rPr>
        <w:t xml:space="preserve">Proposal </w:t>
      </w:r>
      <w:r>
        <w:rPr>
          <w:b/>
          <w:lang w:val="en-US"/>
        </w:rPr>
        <w:t>2</w:t>
      </w:r>
      <w:r w:rsidRPr="00E41FED">
        <w:rPr>
          <w:b/>
          <w:lang w:val="en-US"/>
        </w:rPr>
        <w:t>:</w:t>
      </w:r>
      <w:r>
        <w:rPr>
          <w:b/>
          <w:lang w:val="en-US"/>
        </w:rPr>
        <w:t xml:space="preserve"> </w:t>
      </w:r>
      <w:r w:rsidR="00BE0E29">
        <w:rPr>
          <w:b/>
          <w:lang w:val="en-US"/>
        </w:rPr>
        <w:t>UpPTS together with its adjacent UL subframe can be used for NPRACH transmission, if the number of symbols in UpPTS &gt; 1.</w:t>
      </w:r>
    </w:p>
    <w:p w14:paraId="035C5696" w14:textId="70A1E62C" w:rsidR="00646357" w:rsidRPr="00646357" w:rsidRDefault="00646357" w:rsidP="00646357">
      <w:pPr>
        <w:pStyle w:val="20"/>
        <w:rPr>
          <w:rFonts w:eastAsia="MS Gothic"/>
          <w:kern w:val="28"/>
          <w:sz w:val="32"/>
          <w:szCs w:val="20"/>
          <w:lang w:val="en-US"/>
        </w:rPr>
      </w:pPr>
      <w:r>
        <w:rPr>
          <w:rFonts w:eastAsia="MS Gothic"/>
          <w:kern w:val="28"/>
          <w:sz w:val="32"/>
          <w:szCs w:val="20"/>
          <w:lang w:val="en-US"/>
        </w:rPr>
        <w:t>3</w:t>
      </w:r>
      <w:r w:rsidRPr="00646357">
        <w:rPr>
          <w:rFonts w:eastAsia="MS Gothic"/>
          <w:kern w:val="28"/>
          <w:sz w:val="32"/>
          <w:szCs w:val="20"/>
          <w:lang w:val="en-US"/>
        </w:rPr>
        <w:t>.</w:t>
      </w:r>
      <w:r w:rsidRPr="00646357">
        <w:rPr>
          <w:rFonts w:eastAsia="MS Gothic"/>
          <w:kern w:val="28"/>
          <w:sz w:val="32"/>
          <w:szCs w:val="20"/>
          <w:lang w:val="en-US"/>
        </w:rPr>
        <w:tab/>
        <w:t>NP</w:t>
      </w:r>
      <w:r>
        <w:rPr>
          <w:rFonts w:eastAsia="MS Gothic"/>
          <w:kern w:val="28"/>
          <w:sz w:val="32"/>
          <w:szCs w:val="20"/>
          <w:lang w:val="en-US"/>
        </w:rPr>
        <w:t>US</w:t>
      </w:r>
      <w:r w:rsidRPr="00646357">
        <w:rPr>
          <w:rFonts w:eastAsia="MS Gothic"/>
          <w:kern w:val="28"/>
          <w:sz w:val="32"/>
          <w:szCs w:val="20"/>
          <w:lang w:val="en-US"/>
        </w:rPr>
        <w:t>CH Design</w:t>
      </w:r>
    </w:p>
    <w:p w14:paraId="3FA00C03" w14:textId="451F669F" w:rsidR="00FD0AF7" w:rsidRDefault="00250CA5" w:rsidP="00FD0AF7">
      <w:pPr>
        <w:jc w:val="left"/>
        <w:rPr>
          <w:rFonts w:eastAsia="宋体"/>
          <w:lang w:val="en-US" w:eastAsia="zh-CN"/>
        </w:rPr>
      </w:pPr>
      <w:r>
        <w:rPr>
          <w:lang w:val="en-US"/>
        </w:rPr>
        <w:t>B</w:t>
      </w:r>
      <w:r>
        <w:rPr>
          <w:rFonts w:eastAsia="宋体" w:hint="eastAsia"/>
          <w:lang w:val="en-US" w:eastAsia="zh-CN"/>
        </w:rPr>
        <w:t xml:space="preserve">oth </w:t>
      </w:r>
      <w:r w:rsidR="00556D35">
        <w:rPr>
          <w:rFonts w:eastAsia="宋体" w:hint="eastAsia"/>
          <w:lang w:val="en-US" w:eastAsia="zh-CN"/>
        </w:rPr>
        <w:t>single-tone (3.75/15 kHz)</w:t>
      </w:r>
      <w:r>
        <w:rPr>
          <w:rFonts w:eastAsia="宋体" w:hint="eastAsia"/>
          <w:lang w:val="en-US" w:eastAsia="zh-CN"/>
        </w:rPr>
        <w:t xml:space="preserve"> and</w:t>
      </w:r>
      <w:r w:rsidR="00556D35">
        <w:rPr>
          <w:rFonts w:eastAsia="宋体" w:hint="eastAsia"/>
          <w:lang w:val="en-US" w:eastAsia="zh-CN"/>
        </w:rPr>
        <w:t xml:space="preserve"> multi-tone</w:t>
      </w:r>
      <w:r>
        <w:rPr>
          <w:rFonts w:eastAsia="宋体" w:hint="eastAsia"/>
          <w:lang w:val="en-US" w:eastAsia="zh-CN"/>
        </w:rPr>
        <w:t xml:space="preserve"> are supported for NPUSCH in FDD NB-IoT</w:t>
      </w:r>
      <w:r w:rsidR="00556D35">
        <w:rPr>
          <w:rFonts w:eastAsia="宋体" w:hint="eastAsia"/>
          <w:lang w:val="en-US" w:eastAsia="zh-CN"/>
        </w:rPr>
        <w:t xml:space="preserve">. </w:t>
      </w:r>
      <w:r w:rsidR="007B1C4E">
        <w:rPr>
          <w:rFonts w:eastAsia="宋体" w:hint="eastAsia"/>
          <w:lang w:val="en-US" w:eastAsia="zh-CN"/>
        </w:rPr>
        <w:t xml:space="preserve">For the consideration of flexible resource scheduling, </w:t>
      </w:r>
      <w:r w:rsidR="00B50378">
        <w:rPr>
          <w:rFonts w:eastAsia="宋体" w:hint="eastAsia"/>
          <w:lang w:val="en-US" w:eastAsia="zh-CN"/>
        </w:rPr>
        <w:t>TDD NB-IoT could also have the same scheme.</w:t>
      </w:r>
      <w:r w:rsidR="00020530">
        <w:rPr>
          <w:rFonts w:eastAsia="宋体" w:hint="eastAsia"/>
          <w:lang w:val="en-US" w:eastAsia="zh-CN"/>
        </w:rPr>
        <w:t xml:space="preserve"> </w:t>
      </w:r>
    </w:p>
    <w:p w14:paraId="508820DD" w14:textId="77777777" w:rsidR="00580A9E" w:rsidRDefault="00580A9E" w:rsidP="00FD0AF7">
      <w:pPr>
        <w:jc w:val="left"/>
        <w:rPr>
          <w:rFonts w:eastAsia="宋体"/>
          <w:lang w:val="en-US" w:eastAsia="zh-CN"/>
        </w:rPr>
      </w:pPr>
    </w:p>
    <w:p w14:paraId="76B53924" w14:textId="21ECF583" w:rsidR="00020530" w:rsidRDefault="00020530" w:rsidP="00FD0AF7">
      <w:pPr>
        <w:jc w:val="left"/>
        <w:rPr>
          <w:rFonts w:eastAsia="宋体"/>
          <w:lang w:val="en-US" w:eastAsia="zh-CN"/>
        </w:rPr>
      </w:pPr>
      <w:r>
        <w:rPr>
          <w:rFonts w:eastAsia="宋体" w:hint="eastAsia"/>
          <w:lang w:val="en-US" w:eastAsia="zh-CN"/>
        </w:rPr>
        <w:t>For 3.75</w:t>
      </w:r>
      <w:r w:rsidR="008F55B5">
        <w:rPr>
          <w:rFonts w:eastAsia="宋体" w:hint="eastAsia"/>
          <w:lang w:val="en-US" w:eastAsia="zh-CN"/>
        </w:rPr>
        <w:t xml:space="preserve"> </w:t>
      </w:r>
      <w:r>
        <w:rPr>
          <w:rFonts w:eastAsia="宋体" w:hint="eastAsia"/>
          <w:lang w:val="en-US" w:eastAsia="zh-CN"/>
        </w:rPr>
        <w:t>kHz subcarrier spacing, the slot duration is 2ms in FDD NB-IoT</w:t>
      </w:r>
      <w:r w:rsidR="001A4A2D">
        <w:rPr>
          <w:rFonts w:eastAsia="宋体"/>
          <w:lang w:val="en-US" w:eastAsia="zh-CN"/>
        </w:rPr>
        <w:t xml:space="preserve"> which includes 7 symbols</w:t>
      </w:r>
      <w:r>
        <w:rPr>
          <w:rFonts w:eastAsia="宋体" w:hint="eastAsia"/>
          <w:lang w:val="en-US" w:eastAsia="zh-CN"/>
        </w:rPr>
        <w:t>.</w:t>
      </w:r>
      <w:r w:rsidR="00564BBC">
        <w:rPr>
          <w:rFonts w:eastAsia="宋体"/>
          <w:lang w:val="en-US" w:eastAsia="zh-CN"/>
        </w:rPr>
        <w:t xml:space="preserve"> </w:t>
      </w:r>
      <w:r w:rsidR="00111245">
        <w:rPr>
          <w:rFonts w:eastAsia="宋体"/>
          <w:lang w:val="en-US" w:eastAsia="zh-CN"/>
        </w:rPr>
        <w:t xml:space="preserve">However, </w:t>
      </w:r>
      <w:r w:rsidR="00111245">
        <w:rPr>
          <w:rFonts w:eastAsia="宋体" w:hint="eastAsia"/>
          <w:lang w:val="en-US" w:eastAsia="zh-CN"/>
        </w:rPr>
        <w:t>n</w:t>
      </w:r>
      <w:r w:rsidR="00FD3996">
        <w:rPr>
          <w:rFonts w:eastAsia="宋体"/>
          <w:lang w:val="en-US" w:eastAsia="zh-CN"/>
        </w:rPr>
        <w:t xml:space="preserve">ot all </w:t>
      </w:r>
      <w:r w:rsidR="00111245">
        <w:rPr>
          <w:rFonts w:eastAsia="宋体"/>
          <w:lang w:val="en-US" w:eastAsia="zh-CN"/>
        </w:rPr>
        <w:t xml:space="preserve">legacy </w:t>
      </w:r>
      <w:r w:rsidR="00657752">
        <w:rPr>
          <w:rFonts w:eastAsia="宋体"/>
          <w:lang w:val="en-US" w:eastAsia="zh-CN"/>
        </w:rPr>
        <w:t>u</w:t>
      </w:r>
      <w:r w:rsidR="00657752" w:rsidRPr="00657752">
        <w:rPr>
          <w:rFonts w:eastAsia="宋体"/>
          <w:lang w:val="en-US" w:eastAsia="zh-CN"/>
        </w:rPr>
        <w:t>plink-downlink</w:t>
      </w:r>
      <w:r w:rsidR="00FD3996">
        <w:rPr>
          <w:rFonts w:eastAsia="宋体"/>
          <w:lang w:val="en-US" w:eastAsia="zh-CN"/>
        </w:rPr>
        <w:t xml:space="preserve"> configurations can </w:t>
      </w:r>
      <w:r w:rsidR="00FD3996">
        <w:rPr>
          <w:rFonts w:eastAsia="宋体" w:hint="eastAsia"/>
          <w:lang w:val="en-US" w:eastAsia="zh-CN"/>
        </w:rPr>
        <w:t xml:space="preserve">satisfy the requirement of </w:t>
      </w:r>
      <w:r w:rsidR="00111245">
        <w:rPr>
          <w:rFonts w:eastAsia="宋体"/>
          <w:lang w:val="en-US" w:eastAsia="zh-CN"/>
        </w:rPr>
        <w:t>having</w:t>
      </w:r>
      <w:r w:rsidR="00FD3996">
        <w:rPr>
          <w:rFonts w:eastAsia="宋体"/>
          <w:lang w:val="en-US" w:eastAsia="zh-CN"/>
        </w:rPr>
        <w:t xml:space="preserve"> two consecutive UL subframes</w:t>
      </w:r>
      <w:r w:rsidR="00FD3996">
        <w:rPr>
          <w:rFonts w:eastAsia="宋体" w:hint="eastAsia"/>
          <w:lang w:val="en-US" w:eastAsia="zh-CN"/>
        </w:rPr>
        <w:t xml:space="preserve">, e.g., </w:t>
      </w:r>
      <w:r w:rsidR="00FD3996">
        <w:rPr>
          <w:rFonts w:eastAsia="宋体"/>
          <w:lang w:val="en-US" w:eastAsia="zh-CN"/>
        </w:rPr>
        <w:t>configuration 2 and 5.</w:t>
      </w:r>
      <w:r w:rsidR="00564BBC">
        <w:rPr>
          <w:rFonts w:eastAsia="宋体"/>
          <w:lang w:val="en-US" w:eastAsia="zh-CN"/>
        </w:rPr>
        <w:t xml:space="preserve"> </w:t>
      </w:r>
      <w:r w:rsidR="00FD3996">
        <w:rPr>
          <w:rFonts w:eastAsia="宋体" w:hint="eastAsia"/>
          <w:lang w:val="en-US" w:eastAsia="zh-CN"/>
        </w:rPr>
        <w:t>Therefore, a new</w:t>
      </w:r>
      <w:r w:rsidR="003E6DC4">
        <w:rPr>
          <w:rFonts w:eastAsia="宋体" w:hint="eastAsia"/>
          <w:lang w:val="en-US" w:eastAsia="zh-CN"/>
        </w:rPr>
        <w:t xml:space="preserve"> slot structure should be </w:t>
      </w:r>
      <w:r w:rsidR="00FD3996">
        <w:rPr>
          <w:rFonts w:eastAsia="宋体"/>
          <w:lang w:val="en-US" w:eastAsia="zh-CN"/>
        </w:rPr>
        <w:t>considered</w:t>
      </w:r>
      <w:r w:rsidR="003E6DC4">
        <w:rPr>
          <w:rFonts w:eastAsia="宋体" w:hint="eastAsia"/>
          <w:lang w:val="en-US" w:eastAsia="zh-CN"/>
        </w:rPr>
        <w:t xml:space="preserve"> for 3.75 kHz case</w:t>
      </w:r>
      <w:r w:rsidR="00F269EE">
        <w:rPr>
          <w:rFonts w:eastAsia="宋体"/>
          <w:lang w:val="en-US" w:eastAsia="zh-CN"/>
        </w:rPr>
        <w:t>, whose</w:t>
      </w:r>
      <w:r w:rsidR="00111245">
        <w:rPr>
          <w:rFonts w:eastAsia="宋体"/>
          <w:lang w:val="en-US" w:eastAsia="zh-CN"/>
        </w:rPr>
        <w:t xml:space="preserve"> </w:t>
      </w:r>
      <w:r w:rsidR="00F269EE">
        <w:rPr>
          <w:rFonts w:eastAsia="宋体"/>
          <w:lang w:val="en-US" w:eastAsia="zh-CN"/>
        </w:rPr>
        <w:t xml:space="preserve">slot </w:t>
      </w:r>
      <w:r w:rsidR="00111245">
        <w:rPr>
          <w:rFonts w:eastAsia="宋体"/>
          <w:lang w:val="en-US" w:eastAsia="zh-CN"/>
        </w:rPr>
        <w:t xml:space="preserve">duration </w:t>
      </w:r>
      <w:r w:rsidR="00F269EE">
        <w:rPr>
          <w:rFonts w:eastAsia="宋体"/>
          <w:lang w:val="en-US" w:eastAsia="zh-CN"/>
        </w:rPr>
        <w:t xml:space="preserve">is less than 2ms and can be applied under </w:t>
      </w:r>
      <w:r w:rsidR="00111245">
        <w:rPr>
          <w:rFonts w:eastAsia="宋体"/>
          <w:lang w:val="en-US" w:eastAsia="zh-CN"/>
        </w:rPr>
        <w:t xml:space="preserve">all legacy </w:t>
      </w:r>
      <w:r w:rsidR="00657752">
        <w:rPr>
          <w:rFonts w:eastAsia="宋体"/>
          <w:lang w:val="en-US" w:eastAsia="zh-CN"/>
        </w:rPr>
        <w:t>u</w:t>
      </w:r>
      <w:r w:rsidR="00657752" w:rsidRPr="00657752">
        <w:rPr>
          <w:rFonts w:eastAsia="宋体"/>
          <w:lang w:val="en-US" w:eastAsia="zh-CN"/>
        </w:rPr>
        <w:t>plink-downlink</w:t>
      </w:r>
      <w:r w:rsidR="00111245">
        <w:rPr>
          <w:rFonts w:eastAsia="宋体"/>
          <w:lang w:val="en-US" w:eastAsia="zh-CN"/>
        </w:rPr>
        <w:t xml:space="preserve"> configurations.</w:t>
      </w:r>
    </w:p>
    <w:p w14:paraId="4594C097" w14:textId="3EB9A5ED" w:rsidR="00FD3996" w:rsidRPr="00F9596E" w:rsidRDefault="00F11B74" w:rsidP="00F11B74">
      <w:pPr>
        <w:jc w:val="left"/>
        <w:rPr>
          <w:rFonts w:eastAsia="宋体"/>
          <w:lang w:val="en-US" w:eastAsia="zh-CN"/>
        </w:rPr>
      </w:pPr>
      <w:r>
        <w:rPr>
          <w:rFonts w:eastAsia="宋体" w:hint="eastAsia"/>
          <w:lang w:val="en-US" w:eastAsia="zh-CN"/>
        </w:rPr>
        <w:t xml:space="preserve">Another critical issue is how to make good use of special subframe, especially for the UL part. </w:t>
      </w:r>
      <w:r>
        <w:rPr>
          <w:lang w:val="en-US"/>
        </w:rPr>
        <w:t>Ad</w:t>
      </w:r>
      <w:r>
        <w:rPr>
          <w:rFonts w:eastAsia="宋体" w:hint="eastAsia"/>
          <w:lang w:val="en-US" w:eastAsia="zh-CN"/>
        </w:rPr>
        <w:t xml:space="preserve">mittedly, the number of UL symbols in special subframe is limited, e.g., 1 or 2 UL symbols, which could cause some problem for </w:t>
      </w:r>
      <w:r>
        <w:rPr>
          <w:rFonts w:eastAsia="宋体"/>
          <w:lang w:val="en-US" w:eastAsia="zh-CN"/>
        </w:rPr>
        <w:t>utilization</w:t>
      </w:r>
      <w:r>
        <w:rPr>
          <w:rFonts w:eastAsia="宋体" w:hint="eastAsia"/>
          <w:lang w:val="en-US" w:eastAsia="zh-CN"/>
        </w:rPr>
        <w:t xml:space="preserve"> of 3.75 kHz subcarrier spacing. However, it is not a good reason to </w:t>
      </w:r>
      <w:r>
        <w:rPr>
          <w:rFonts w:eastAsia="宋体"/>
          <w:lang w:val="en-US" w:eastAsia="zh-CN"/>
        </w:rPr>
        <w:t>abandon</w:t>
      </w:r>
      <w:r>
        <w:rPr>
          <w:rFonts w:eastAsia="宋体" w:hint="eastAsia"/>
          <w:lang w:val="en-US" w:eastAsia="zh-CN"/>
        </w:rPr>
        <w:t xml:space="preserve"> the special subframe for </w:t>
      </w:r>
      <w:r w:rsidR="00584024">
        <w:rPr>
          <w:rFonts w:eastAsia="宋体"/>
          <w:lang w:val="en-US" w:eastAsia="zh-CN"/>
        </w:rPr>
        <w:t xml:space="preserve">the usage of </w:t>
      </w:r>
      <w:r>
        <w:rPr>
          <w:rFonts w:eastAsia="宋体" w:hint="eastAsia"/>
          <w:lang w:val="en-US" w:eastAsia="zh-CN"/>
        </w:rPr>
        <w:t xml:space="preserve">TDD </w:t>
      </w:r>
      <w:r w:rsidR="00584024">
        <w:rPr>
          <w:rFonts w:eastAsia="宋体"/>
          <w:lang w:val="en-US" w:eastAsia="zh-CN"/>
        </w:rPr>
        <w:t>NB-IoT</w:t>
      </w:r>
      <w:r>
        <w:rPr>
          <w:rFonts w:eastAsia="宋体" w:hint="eastAsia"/>
          <w:lang w:val="en-US" w:eastAsia="zh-CN"/>
        </w:rPr>
        <w:t>. For higher efficiency of resource utilization, it is</w:t>
      </w:r>
      <w:r w:rsidR="00F269EE">
        <w:rPr>
          <w:rFonts w:eastAsia="宋体"/>
          <w:lang w:val="en-US" w:eastAsia="zh-CN"/>
        </w:rPr>
        <w:t xml:space="preserve"> also</w:t>
      </w:r>
      <w:r>
        <w:rPr>
          <w:rFonts w:eastAsia="宋体" w:hint="eastAsia"/>
          <w:lang w:val="en-US" w:eastAsia="zh-CN"/>
        </w:rPr>
        <w:t xml:space="preserve"> recommended to study</w:t>
      </w:r>
      <w:r>
        <w:rPr>
          <w:rFonts w:eastAsia="宋体"/>
          <w:lang w:val="en-US" w:eastAsia="zh-CN"/>
        </w:rPr>
        <w:t xml:space="preserve"> </w:t>
      </w:r>
      <w:r>
        <w:rPr>
          <w:rFonts w:eastAsia="宋体" w:hint="eastAsia"/>
          <w:lang w:val="en-US" w:eastAsia="zh-CN"/>
        </w:rPr>
        <w:t>the new slot structure for NPUSCH</w:t>
      </w:r>
      <w:r>
        <w:rPr>
          <w:rFonts w:eastAsia="宋体"/>
          <w:lang w:val="en-US" w:eastAsia="zh-CN"/>
        </w:rPr>
        <w:t xml:space="preserve"> by taking the UL symbols in special subframe into account. </w:t>
      </w:r>
    </w:p>
    <w:p w14:paraId="68F2F9AA" w14:textId="79204710" w:rsidR="00646357" w:rsidRDefault="00646357" w:rsidP="00646357">
      <w:pPr>
        <w:rPr>
          <w:rFonts w:eastAsia="宋体"/>
          <w:b/>
          <w:lang w:val="en-US" w:eastAsia="zh-CN"/>
        </w:rPr>
      </w:pPr>
      <w:r w:rsidRPr="00E41FED">
        <w:rPr>
          <w:b/>
          <w:lang w:val="en-US"/>
        </w:rPr>
        <w:t xml:space="preserve">Proposal </w:t>
      </w:r>
      <w:r>
        <w:rPr>
          <w:b/>
          <w:lang w:val="en-US"/>
        </w:rPr>
        <w:t>3</w:t>
      </w:r>
      <w:r w:rsidRPr="00E41FED">
        <w:rPr>
          <w:b/>
          <w:lang w:val="en-US"/>
        </w:rPr>
        <w:t>:</w:t>
      </w:r>
      <w:r>
        <w:rPr>
          <w:b/>
          <w:lang w:val="en-US"/>
        </w:rPr>
        <w:t xml:space="preserve"> S</w:t>
      </w:r>
      <w:r w:rsidR="00FD25A3">
        <w:rPr>
          <w:b/>
          <w:lang w:val="en-US"/>
        </w:rPr>
        <w:t>upport</w:t>
      </w:r>
      <w:r>
        <w:rPr>
          <w:b/>
          <w:lang w:val="en-US"/>
        </w:rPr>
        <w:t xml:space="preserve"> UpPTS for NPUSCH</w:t>
      </w:r>
      <w:r w:rsidRPr="00CF55C8">
        <w:rPr>
          <w:rFonts w:eastAsia="宋体"/>
          <w:b/>
          <w:lang w:val="en-US" w:eastAsia="zh-CN"/>
        </w:rPr>
        <w:t xml:space="preserve"> </w:t>
      </w:r>
      <w:r>
        <w:rPr>
          <w:rFonts w:eastAsia="宋体"/>
          <w:b/>
          <w:lang w:val="en-US" w:eastAsia="zh-CN"/>
        </w:rPr>
        <w:t xml:space="preserve">transmission </w:t>
      </w:r>
      <w:r>
        <w:rPr>
          <w:b/>
          <w:lang w:val="en-US"/>
        </w:rPr>
        <w:t>in TDD NB-IoT.</w:t>
      </w:r>
    </w:p>
    <w:p w14:paraId="01EA0B46" w14:textId="77777777" w:rsidR="00F84A7C" w:rsidRPr="00FD25A3" w:rsidRDefault="00F84A7C" w:rsidP="008F05E4">
      <w:pPr>
        <w:rPr>
          <w:rFonts w:eastAsia="宋体"/>
          <w:b/>
          <w:lang w:val="en-US" w:eastAsia="zh-CN"/>
        </w:rPr>
      </w:pPr>
    </w:p>
    <w:p w14:paraId="770015BA" w14:textId="3A3DBCC7" w:rsidR="00A23C2E" w:rsidRPr="00050864" w:rsidRDefault="00A23C2E" w:rsidP="00050864">
      <w:pPr>
        <w:pStyle w:val="10"/>
        <w:numPr>
          <w:ilvl w:val="0"/>
          <w:numId w:val="37"/>
        </w:numPr>
        <w:spacing w:after="180"/>
        <w:rPr>
          <w:rFonts w:eastAsiaTheme="minorEastAsia"/>
          <w:lang w:val="en-US"/>
        </w:rPr>
      </w:pPr>
      <w:r w:rsidRPr="00050864">
        <w:rPr>
          <w:lang w:val="en-US" w:eastAsia="zh-CN"/>
        </w:rPr>
        <w:t>Conclusion</w:t>
      </w:r>
    </w:p>
    <w:p w14:paraId="594E6A4B" w14:textId="77777777" w:rsidR="00196BC3" w:rsidRDefault="00196BC3" w:rsidP="00196BC3">
      <w:pPr>
        <w:rPr>
          <w:rFonts w:eastAsiaTheme="minorEastAsia"/>
          <w:lang w:val="en-US"/>
        </w:rPr>
      </w:pPr>
      <w:r w:rsidRPr="00CE19BC">
        <w:rPr>
          <w:rFonts w:eastAsiaTheme="minorEastAsia" w:hint="eastAsia"/>
          <w:lang w:val="en-US"/>
        </w:rPr>
        <w:t>In this contribution, we have the following proposal</w:t>
      </w:r>
      <w:r w:rsidR="00BD4DD3" w:rsidRPr="00CE19BC">
        <w:rPr>
          <w:rFonts w:eastAsiaTheme="minorEastAsia" w:hint="eastAsia"/>
          <w:lang w:val="en-US"/>
        </w:rPr>
        <w:t>s</w:t>
      </w:r>
      <w:r w:rsidRPr="00CE19BC">
        <w:rPr>
          <w:rFonts w:eastAsiaTheme="minorEastAsia" w:hint="eastAsia"/>
          <w:lang w:val="en-US"/>
        </w:rPr>
        <w:t>:</w:t>
      </w:r>
    </w:p>
    <w:p w14:paraId="4F41478A" w14:textId="49BDDA0B" w:rsidR="00A5191F" w:rsidRDefault="00AC6758" w:rsidP="00AC6758">
      <w:pPr>
        <w:rPr>
          <w:rFonts w:eastAsia="宋体"/>
          <w:b/>
          <w:lang w:val="en-US" w:eastAsia="zh-CN"/>
        </w:rPr>
      </w:pPr>
      <w:r w:rsidRPr="00E41FED">
        <w:rPr>
          <w:b/>
          <w:lang w:val="en-US"/>
        </w:rPr>
        <w:t>Proposal 1:</w:t>
      </w:r>
      <w:r w:rsidRPr="00E41FED">
        <w:rPr>
          <w:rFonts w:eastAsia="宋体" w:hint="eastAsia"/>
          <w:b/>
          <w:lang w:val="en-US" w:eastAsia="zh-CN"/>
        </w:rPr>
        <w:t xml:space="preserve"> </w:t>
      </w:r>
      <w:r w:rsidR="00A5191F">
        <w:rPr>
          <w:rFonts w:eastAsia="宋体"/>
          <w:b/>
          <w:lang w:val="en-US" w:eastAsia="zh-CN"/>
        </w:rPr>
        <w:t xml:space="preserve">Adopt 3.75 kHz subcarrier spacing for NPRACH transmission </w:t>
      </w:r>
      <w:r w:rsidR="00A5191F">
        <w:rPr>
          <w:b/>
          <w:lang w:val="en-US"/>
        </w:rPr>
        <w:t>in TDD NB-IoT.</w:t>
      </w:r>
    </w:p>
    <w:p w14:paraId="55694861" w14:textId="74E73B7A" w:rsidR="00A5191F" w:rsidRDefault="00414C96" w:rsidP="00AC6758">
      <w:pPr>
        <w:rPr>
          <w:rFonts w:eastAsia="宋体"/>
          <w:b/>
          <w:lang w:val="en-US" w:eastAsia="zh-CN"/>
        </w:rPr>
      </w:pPr>
      <w:r>
        <w:rPr>
          <w:b/>
          <w:lang w:val="en-US"/>
        </w:rPr>
        <w:t xml:space="preserve">Proposal </w:t>
      </w:r>
      <w:r w:rsidR="00574035">
        <w:rPr>
          <w:b/>
          <w:lang w:val="en-US"/>
        </w:rPr>
        <w:t>2</w:t>
      </w:r>
      <w:r w:rsidR="00574035" w:rsidRPr="00E41FED">
        <w:rPr>
          <w:b/>
          <w:lang w:val="en-US"/>
        </w:rPr>
        <w:t>:</w:t>
      </w:r>
      <w:r w:rsidR="009978FD">
        <w:rPr>
          <w:b/>
          <w:lang w:val="en-US"/>
        </w:rPr>
        <w:t xml:space="preserve"> </w:t>
      </w:r>
      <w:r w:rsidR="00E471A0">
        <w:rPr>
          <w:b/>
          <w:lang w:val="en-US"/>
        </w:rPr>
        <w:t xml:space="preserve">UpPTS </w:t>
      </w:r>
      <w:r w:rsidR="009978FD">
        <w:rPr>
          <w:b/>
          <w:lang w:val="en-US"/>
        </w:rPr>
        <w:t>together with its adjacent UL subframe can be used for NPRACH transmission</w:t>
      </w:r>
      <w:r w:rsidR="00BE0E29">
        <w:rPr>
          <w:b/>
          <w:lang w:val="en-US"/>
        </w:rPr>
        <w:t>, if the number of symbols in UpPTS &gt; 1.</w:t>
      </w:r>
    </w:p>
    <w:p w14:paraId="33D14A0B" w14:textId="1CAC577F" w:rsidR="00CF55C8" w:rsidRDefault="009978FD" w:rsidP="00CF55C8">
      <w:pPr>
        <w:rPr>
          <w:rFonts w:eastAsia="宋体"/>
          <w:b/>
          <w:lang w:val="en-US" w:eastAsia="zh-CN"/>
        </w:rPr>
      </w:pPr>
      <w:r w:rsidRPr="00E41FED">
        <w:rPr>
          <w:b/>
          <w:lang w:val="en-US"/>
        </w:rPr>
        <w:t xml:space="preserve">Proposal </w:t>
      </w:r>
      <w:r>
        <w:rPr>
          <w:b/>
          <w:lang w:val="en-US"/>
        </w:rPr>
        <w:t>3</w:t>
      </w:r>
      <w:r w:rsidRPr="00E41FED">
        <w:rPr>
          <w:b/>
          <w:lang w:val="en-US"/>
        </w:rPr>
        <w:t>:</w:t>
      </w:r>
      <w:r>
        <w:rPr>
          <w:b/>
          <w:lang w:val="en-US"/>
        </w:rPr>
        <w:t xml:space="preserve"> S</w:t>
      </w:r>
      <w:r w:rsidR="00FD25A3">
        <w:rPr>
          <w:b/>
          <w:lang w:val="en-US"/>
        </w:rPr>
        <w:t>upport</w:t>
      </w:r>
      <w:r>
        <w:rPr>
          <w:b/>
          <w:lang w:val="en-US"/>
        </w:rPr>
        <w:t xml:space="preserve"> UpPTS for NPUSCH</w:t>
      </w:r>
      <w:r w:rsidR="00CF55C8" w:rsidRPr="00CF55C8">
        <w:rPr>
          <w:rFonts w:eastAsia="宋体"/>
          <w:b/>
          <w:lang w:val="en-US" w:eastAsia="zh-CN"/>
        </w:rPr>
        <w:t xml:space="preserve"> </w:t>
      </w:r>
      <w:r w:rsidR="00CF55C8">
        <w:rPr>
          <w:rFonts w:eastAsia="宋体"/>
          <w:b/>
          <w:lang w:val="en-US" w:eastAsia="zh-CN"/>
        </w:rPr>
        <w:t xml:space="preserve">transmission </w:t>
      </w:r>
      <w:r w:rsidR="00CF55C8">
        <w:rPr>
          <w:b/>
          <w:lang w:val="en-US"/>
        </w:rPr>
        <w:t>in TDD NB-IoT.</w:t>
      </w:r>
    </w:p>
    <w:p w14:paraId="7EC3BC09" w14:textId="77777777" w:rsidR="00C86144" w:rsidRPr="00A72664" w:rsidRDefault="00C86144" w:rsidP="00AB17C8">
      <w:pPr>
        <w:rPr>
          <w:b/>
          <w:lang w:val="en-US"/>
        </w:rPr>
      </w:pPr>
    </w:p>
    <w:p w14:paraId="69CB07D9" w14:textId="77777777" w:rsidR="00D521DD" w:rsidRPr="004266BD" w:rsidRDefault="00D521DD" w:rsidP="005544D4">
      <w:pPr>
        <w:pStyle w:val="10"/>
        <w:adjustRightInd w:val="0"/>
        <w:spacing w:before="100" w:beforeAutospacing="1" w:afterLines="0" w:afterAutospacing="1"/>
        <w:rPr>
          <w:rStyle w:val="af"/>
          <w:bCs w:val="0"/>
          <w:lang w:val="en-US"/>
        </w:rPr>
      </w:pPr>
      <w:r w:rsidRPr="004266BD">
        <w:rPr>
          <w:lang w:val="en-US"/>
        </w:rPr>
        <w:t>References</w:t>
      </w:r>
    </w:p>
    <w:p w14:paraId="31C2FF6C" w14:textId="386B6B52" w:rsidR="00076029" w:rsidRPr="00D621FD" w:rsidRDefault="00076029" w:rsidP="00076029">
      <w:pPr>
        <w:pStyle w:val="textintend2"/>
        <w:widowControl w:val="0"/>
        <w:numPr>
          <w:ilvl w:val="0"/>
          <w:numId w:val="0"/>
        </w:numPr>
        <w:tabs>
          <w:tab w:val="right" w:pos="9639"/>
        </w:tabs>
        <w:snapToGrid w:val="0"/>
        <w:spacing w:after="0"/>
        <w:rPr>
          <w:b/>
          <w:szCs w:val="24"/>
          <w:lang w:eastAsia="ja-JP"/>
        </w:rPr>
      </w:pPr>
      <w:r>
        <w:rPr>
          <w:szCs w:val="24"/>
          <w:lang w:eastAsia="ja-JP"/>
        </w:rPr>
        <w:t>[</w:t>
      </w:r>
      <w:r>
        <w:rPr>
          <w:rFonts w:ascii="宋体" w:eastAsia="宋体" w:hAnsi="宋体" w:hint="eastAsia"/>
          <w:szCs w:val="24"/>
          <w:lang w:eastAsia="zh-CN"/>
        </w:rPr>
        <w:t>1</w:t>
      </w:r>
      <w:r>
        <w:rPr>
          <w:szCs w:val="24"/>
          <w:lang w:eastAsia="ja-JP"/>
        </w:rPr>
        <w:t xml:space="preserve">] </w:t>
      </w:r>
      <w:r w:rsidR="00D621FD" w:rsidRPr="00D621FD">
        <w:rPr>
          <w:szCs w:val="24"/>
          <w:lang w:eastAsia="ja-JP"/>
        </w:rPr>
        <w:t>Chairman’s note RAN1 #90, Prague, Czech Republic, Aug</w:t>
      </w:r>
      <w:r w:rsidR="00D621FD">
        <w:rPr>
          <w:rFonts w:ascii="宋体" w:eastAsia="宋体" w:hAnsi="宋体" w:hint="eastAsia"/>
          <w:szCs w:val="24"/>
          <w:lang w:eastAsia="zh-CN"/>
        </w:rPr>
        <w:t>.</w:t>
      </w:r>
      <w:r w:rsidR="00D621FD" w:rsidRPr="00D621FD">
        <w:rPr>
          <w:szCs w:val="24"/>
          <w:lang w:eastAsia="ja-JP"/>
        </w:rPr>
        <w:t>2017</w:t>
      </w:r>
      <w:r w:rsidR="00D621FD">
        <w:rPr>
          <w:rFonts w:ascii="宋体" w:eastAsia="宋体" w:hAnsi="宋体" w:hint="eastAsia"/>
          <w:szCs w:val="24"/>
          <w:lang w:eastAsia="zh-CN"/>
        </w:rPr>
        <w:t>.</w:t>
      </w:r>
    </w:p>
    <w:p w14:paraId="79639B4C" w14:textId="166B9623" w:rsidR="00DF4D5C" w:rsidRPr="00800FB8" w:rsidRDefault="000713E8" w:rsidP="008C7066">
      <w:pPr>
        <w:pStyle w:val="textintend2"/>
        <w:widowControl w:val="0"/>
        <w:numPr>
          <w:ilvl w:val="0"/>
          <w:numId w:val="0"/>
        </w:numPr>
        <w:tabs>
          <w:tab w:val="right" w:pos="9639"/>
        </w:tabs>
        <w:snapToGrid w:val="0"/>
        <w:spacing w:after="0"/>
        <w:ind w:left="420" w:hanging="420"/>
        <w:rPr>
          <w:szCs w:val="24"/>
        </w:rPr>
      </w:pPr>
      <w:r>
        <w:rPr>
          <w:szCs w:val="24"/>
          <w:lang w:eastAsia="ja-JP"/>
        </w:rPr>
        <w:t>[</w:t>
      </w:r>
      <w:r w:rsidR="00076029">
        <w:rPr>
          <w:rFonts w:ascii="宋体" w:eastAsia="宋体" w:hAnsi="宋体" w:hint="eastAsia"/>
          <w:szCs w:val="24"/>
          <w:lang w:eastAsia="zh-CN"/>
        </w:rPr>
        <w:t>2</w:t>
      </w:r>
      <w:r>
        <w:rPr>
          <w:szCs w:val="24"/>
          <w:lang w:eastAsia="ja-JP"/>
        </w:rPr>
        <w:t xml:space="preserve">] </w:t>
      </w:r>
      <w:r w:rsidR="00800FB8" w:rsidRPr="00800FB8">
        <w:rPr>
          <w:szCs w:val="24"/>
          <w:lang w:eastAsia="ja-JP"/>
        </w:rPr>
        <w:t>R1-1713324,</w:t>
      </w:r>
      <w:r w:rsidR="00574C56" w:rsidRPr="00800FB8">
        <w:rPr>
          <w:rFonts w:hint="eastAsia"/>
          <w:szCs w:val="24"/>
          <w:lang w:eastAsia="ja-JP"/>
        </w:rPr>
        <w:t xml:space="preserve"> </w:t>
      </w:r>
      <w:r w:rsidR="00574C56" w:rsidRPr="00800FB8">
        <w:rPr>
          <w:szCs w:val="24"/>
          <w:lang w:eastAsia="ja-JP"/>
        </w:rPr>
        <w:t>“</w:t>
      </w:r>
      <w:r w:rsidR="00800FB8" w:rsidRPr="00800FB8">
        <w:rPr>
          <w:szCs w:val="24"/>
          <w:lang w:eastAsia="ja-JP"/>
        </w:rPr>
        <w:t>Overview of UL TDD NB-IoT</w:t>
      </w:r>
      <w:r w:rsidR="00C171A8" w:rsidRPr="00800FB8">
        <w:rPr>
          <w:szCs w:val="24"/>
          <w:lang w:eastAsia="ja-JP"/>
        </w:rPr>
        <w:t>,</w:t>
      </w:r>
      <w:r w:rsidR="00574C56" w:rsidRPr="00800FB8">
        <w:rPr>
          <w:szCs w:val="24"/>
          <w:lang w:eastAsia="ja-JP"/>
        </w:rPr>
        <w:t>”</w:t>
      </w:r>
      <w:r w:rsidR="00574C56" w:rsidRPr="00800FB8">
        <w:rPr>
          <w:rFonts w:hint="eastAsia"/>
          <w:szCs w:val="24"/>
          <w:lang w:eastAsia="ja-JP"/>
        </w:rPr>
        <w:t xml:space="preserve"> </w:t>
      </w:r>
      <w:r w:rsidR="00800FB8" w:rsidRPr="00800FB8">
        <w:rPr>
          <w:szCs w:val="24"/>
          <w:lang w:eastAsia="ja-JP"/>
        </w:rPr>
        <w:t xml:space="preserve">Sharp, </w:t>
      </w:r>
      <w:r w:rsidR="00574C56" w:rsidRPr="00800FB8">
        <w:rPr>
          <w:szCs w:val="24"/>
          <w:lang w:eastAsia="ja-JP"/>
        </w:rPr>
        <w:t>3GPP TSG RAN</w:t>
      </w:r>
      <w:r w:rsidR="00800FB8">
        <w:rPr>
          <w:szCs w:val="24"/>
          <w:lang w:eastAsia="ja-JP"/>
        </w:rPr>
        <w:t>-1</w:t>
      </w:r>
      <w:r w:rsidR="00574C56" w:rsidRPr="00800FB8">
        <w:rPr>
          <w:szCs w:val="24"/>
          <w:lang w:eastAsia="ja-JP"/>
        </w:rPr>
        <w:t xml:space="preserve"> #</w:t>
      </w:r>
      <w:r w:rsidR="00800FB8">
        <w:rPr>
          <w:szCs w:val="24"/>
          <w:lang w:eastAsia="ja-JP"/>
        </w:rPr>
        <w:t>90</w:t>
      </w:r>
      <w:r w:rsidR="002E5A07" w:rsidRPr="00800FB8">
        <w:rPr>
          <w:rFonts w:hint="eastAsia"/>
          <w:szCs w:val="24"/>
          <w:lang w:eastAsia="ja-JP"/>
        </w:rPr>
        <w:t xml:space="preserve"> </w:t>
      </w:r>
      <w:r w:rsidR="00800FB8" w:rsidRPr="00800FB8">
        <w:rPr>
          <w:szCs w:val="24"/>
          <w:lang w:eastAsia="ja-JP"/>
        </w:rPr>
        <w:t>Prague, Czech Republic, 21st – 25th Aug</w:t>
      </w:r>
      <w:r w:rsidR="00D621FD">
        <w:rPr>
          <w:rFonts w:ascii="宋体" w:eastAsia="宋体" w:hAnsi="宋体" w:hint="eastAsia"/>
          <w:szCs w:val="24"/>
          <w:lang w:eastAsia="zh-CN"/>
        </w:rPr>
        <w:t>.</w:t>
      </w:r>
      <w:r w:rsidR="00800FB8" w:rsidRPr="00800FB8">
        <w:rPr>
          <w:szCs w:val="24"/>
          <w:lang w:eastAsia="ja-JP"/>
        </w:rPr>
        <w:t xml:space="preserve"> 2017</w:t>
      </w:r>
      <w:r w:rsidR="00D621FD">
        <w:rPr>
          <w:rFonts w:ascii="宋体" w:eastAsia="宋体" w:hAnsi="宋体" w:hint="eastAsia"/>
          <w:szCs w:val="24"/>
          <w:lang w:eastAsia="zh-CN"/>
        </w:rPr>
        <w:t>.</w:t>
      </w:r>
      <w:bookmarkStart w:id="3" w:name="_GoBack"/>
      <w:bookmarkEnd w:id="3"/>
    </w:p>
    <w:sectPr w:rsidR="00DF4D5C" w:rsidRPr="00800FB8" w:rsidSect="008C6B64">
      <w:footerReference w:type="default" r:id="rId7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A33E9" w14:textId="77777777" w:rsidR="008D0EA8" w:rsidRDefault="008D0EA8">
      <w:r>
        <w:separator/>
      </w:r>
    </w:p>
  </w:endnote>
  <w:endnote w:type="continuationSeparator" w:id="0">
    <w:p w14:paraId="48A336AD" w14:textId="77777777" w:rsidR="008D0EA8" w:rsidRDefault="008D0EA8">
      <w:r>
        <w:continuationSeparator/>
      </w:r>
    </w:p>
  </w:endnote>
  <w:endnote w:type="continuationNotice" w:id="1">
    <w:p w14:paraId="0BFD7618" w14:textId="77777777" w:rsidR="008D0EA8" w:rsidRDefault="008D0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B9E6" w14:textId="77777777" w:rsidR="000F1B52" w:rsidRDefault="004D08CF">
    <w:pPr>
      <w:pStyle w:val="aa"/>
      <w:jc w:val="center"/>
    </w:pPr>
    <w:r>
      <w:rPr>
        <w:b/>
        <w:szCs w:val="24"/>
      </w:rPr>
      <w:fldChar w:fldCharType="begin"/>
    </w:r>
    <w:r w:rsidR="000F1B52">
      <w:rPr>
        <w:b/>
      </w:rPr>
      <w:instrText>PAGE</w:instrText>
    </w:r>
    <w:r>
      <w:rPr>
        <w:b/>
        <w:szCs w:val="24"/>
      </w:rPr>
      <w:fldChar w:fldCharType="separate"/>
    </w:r>
    <w:r w:rsidR="00D621FD">
      <w:rPr>
        <w:b/>
        <w:noProof/>
      </w:rPr>
      <w:t>1</w:t>
    </w:r>
    <w:r>
      <w:rPr>
        <w:b/>
        <w:szCs w:val="24"/>
      </w:rPr>
      <w:fldChar w:fldCharType="end"/>
    </w:r>
  </w:p>
  <w:p w14:paraId="15F48101" w14:textId="77777777" w:rsidR="000F1B52" w:rsidRDefault="000F1B52">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7784C" w14:textId="77777777" w:rsidR="008D0EA8" w:rsidRDefault="008D0EA8">
      <w:r>
        <w:separator/>
      </w:r>
    </w:p>
  </w:footnote>
  <w:footnote w:type="continuationSeparator" w:id="0">
    <w:p w14:paraId="4D8999E7" w14:textId="77777777" w:rsidR="008D0EA8" w:rsidRDefault="008D0EA8">
      <w:r>
        <w:continuationSeparator/>
      </w:r>
    </w:p>
  </w:footnote>
  <w:footnote w:type="continuationNotice" w:id="1">
    <w:p w14:paraId="2588FAB8" w14:textId="77777777" w:rsidR="008D0EA8" w:rsidRDefault="008D0E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3D55F53"/>
    <w:multiLevelType w:val="hybridMultilevel"/>
    <w:tmpl w:val="79507998"/>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46201A"/>
    <w:multiLevelType w:val="hybridMultilevel"/>
    <w:tmpl w:val="7BD07884"/>
    <w:lvl w:ilvl="0" w:tplc="4202C932">
      <w:start w:val="1"/>
      <w:numFmt w:val="bullet"/>
      <w:lvlText w:val=""/>
      <w:lvlJc w:val="left"/>
      <w:pPr>
        <w:ind w:left="420" w:hanging="420"/>
      </w:pPr>
      <w:rPr>
        <w:rFonts w:ascii="Symbol" w:eastAsia="MS Mincho"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3"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MS Gothic"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MS PGothic" w:hAnsi="MS PGothic"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19"/>
  </w:num>
  <w:num w:numId="6">
    <w:abstractNumId w:val="20"/>
  </w:num>
  <w:num w:numId="7">
    <w:abstractNumId w:val="17"/>
  </w:num>
  <w:num w:numId="8">
    <w:abstractNumId w:val="0"/>
  </w:num>
  <w:num w:numId="9">
    <w:abstractNumId w:val="33"/>
  </w:num>
  <w:num w:numId="10">
    <w:abstractNumId w:val="13"/>
  </w:num>
  <w:num w:numId="11">
    <w:abstractNumId w:val="15"/>
  </w:num>
  <w:num w:numId="12">
    <w:abstractNumId w:val="34"/>
  </w:num>
  <w:num w:numId="13">
    <w:abstractNumId w:val="14"/>
  </w:num>
  <w:num w:numId="14">
    <w:abstractNumId w:val="16"/>
  </w:num>
  <w:num w:numId="15">
    <w:abstractNumId w:val="30"/>
  </w:num>
  <w:num w:numId="16">
    <w:abstractNumId w:val="29"/>
  </w:num>
  <w:num w:numId="17">
    <w:abstractNumId w:val="11"/>
  </w:num>
  <w:num w:numId="18">
    <w:abstractNumId w:val="21"/>
  </w:num>
  <w:num w:numId="19">
    <w:abstractNumId w:val="6"/>
  </w:num>
  <w:num w:numId="20">
    <w:abstractNumId w:val="28"/>
  </w:num>
  <w:num w:numId="21">
    <w:abstractNumId w:val="5"/>
  </w:num>
  <w:num w:numId="22">
    <w:abstractNumId w:val="2"/>
  </w:num>
  <w:num w:numId="23">
    <w:abstractNumId w:val="22"/>
  </w:num>
  <w:num w:numId="24">
    <w:abstractNumId w:val="24"/>
  </w:num>
  <w:num w:numId="25">
    <w:abstractNumId w:val="3"/>
  </w:num>
  <w:num w:numId="26">
    <w:abstractNumId w:val="12"/>
  </w:num>
  <w:num w:numId="27">
    <w:abstractNumId w:val="4"/>
  </w:num>
  <w:num w:numId="28">
    <w:abstractNumId w:val="8"/>
  </w:num>
  <w:num w:numId="29">
    <w:abstractNumId w:val="7"/>
  </w:num>
  <w:num w:numId="30">
    <w:abstractNumId w:val="18"/>
  </w:num>
  <w:num w:numId="31">
    <w:abstractNumId w:val="25"/>
  </w:num>
  <w:num w:numId="32">
    <w:abstractNumId w:val="23"/>
  </w:num>
  <w:num w:numId="33">
    <w:abstractNumId w:val="10"/>
  </w:num>
  <w:num w:numId="34">
    <w:abstractNumId w:val="27"/>
  </w:num>
  <w:num w:numId="35">
    <w:abstractNumId w:val="9"/>
  </w:num>
  <w:num w:numId="36">
    <w:abstractNumId w:val="26"/>
  </w:num>
  <w:num w:numId="37">
    <w:abstractNumId w:val="31"/>
    <w:lvlOverride w:ilvl="0">
      <w:startOverride w:val="4"/>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5C4"/>
    <w:rsid w:val="00006AE0"/>
    <w:rsid w:val="0000709F"/>
    <w:rsid w:val="00010B67"/>
    <w:rsid w:val="000111DE"/>
    <w:rsid w:val="00011490"/>
    <w:rsid w:val="0001212C"/>
    <w:rsid w:val="00014528"/>
    <w:rsid w:val="00014DFE"/>
    <w:rsid w:val="00014E62"/>
    <w:rsid w:val="00015075"/>
    <w:rsid w:val="00016A3C"/>
    <w:rsid w:val="00017923"/>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773"/>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864"/>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6716"/>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3E8"/>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029"/>
    <w:rsid w:val="000761C7"/>
    <w:rsid w:val="0007649B"/>
    <w:rsid w:val="0007749D"/>
    <w:rsid w:val="00077748"/>
    <w:rsid w:val="0007775D"/>
    <w:rsid w:val="0008018B"/>
    <w:rsid w:val="000803DB"/>
    <w:rsid w:val="000804CA"/>
    <w:rsid w:val="000806C8"/>
    <w:rsid w:val="00080A45"/>
    <w:rsid w:val="00080EBA"/>
    <w:rsid w:val="000810C7"/>
    <w:rsid w:val="00081354"/>
    <w:rsid w:val="00081B37"/>
    <w:rsid w:val="00081B72"/>
    <w:rsid w:val="000821FB"/>
    <w:rsid w:val="00082308"/>
    <w:rsid w:val="000825D8"/>
    <w:rsid w:val="00083011"/>
    <w:rsid w:val="00083E56"/>
    <w:rsid w:val="000843BE"/>
    <w:rsid w:val="00084A24"/>
    <w:rsid w:val="00084CB7"/>
    <w:rsid w:val="00085385"/>
    <w:rsid w:val="000854D2"/>
    <w:rsid w:val="000857D1"/>
    <w:rsid w:val="0008593D"/>
    <w:rsid w:val="000859C3"/>
    <w:rsid w:val="0008647D"/>
    <w:rsid w:val="0008668F"/>
    <w:rsid w:val="000879FD"/>
    <w:rsid w:val="00087D4A"/>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795"/>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D37"/>
    <w:rsid w:val="000C6237"/>
    <w:rsid w:val="000C6724"/>
    <w:rsid w:val="000C6C38"/>
    <w:rsid w:val="000C7A70"/>
    <w:rsid w:val="000D1C86"/>
    <w:rsid w:val="000D1DD5"/>
    <w:rsid w:val="000D20DC"/>
    <w:rsid w:val="000D251E"/>
    <w:rsid w:val="000D282D"/>
    <w:rsid w:val="000D4A01"/>
    <w:rsid w:val="000D4A50"/>
    <w:rsid w:val="000D4E2B"/>
    <w:rsid w:val="000D52A3"/>
    <w:rsid w:val="000D5A9A"/>
    <w:rsid w:val="000D5D90"/>
    <w:rsid w:val="000D6042"/>
    <w:rsid w:val="000D617A"/>
    <w:rsid w:val="000D61D0"/>
    <w:rsid w:val="000D649B"/>
    <w:rsid w:val="000D657D"/>
    <w:rsid w:val="000D67E6"/>
    <w:rsid w:val="000D6992"/>
    <w:rsid w:val="000D6D86"/>
    <w:rsid w:val="000D7648"/>
    <w:rsid w:val="000D7660"/>
    <w:rsid w:val="000D790F"/>
    <w:rsid w:val="000D7D82"/>
    <w:rsid w:val="000D7DB9"/>
    <w:rsid w:val="000E02A2"/>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3BA"/>
    <w:rsid w:val="000F0B86"/>
    <w:rsid w:val="000F11AB"/>
    <w:rsid w:val="000F141D"/>
    <w:rsid w:val="000F168A"/>
    <w:rsid w:val="000F1B52"/>
    <w:rsid w:val="000F2402"/>
    <w:rsid w:val="000F2C1B"/>
    <w:rsid w:val="000F3E09"/>
    <w:rsid w:val="000F4283"/>
    <w:rsid w:val="000F473E"/>
    <w:rsid w:val="000F53C1"/>
    <w:rsid w:val="000F7182"/>
    <w:rsid w:val="000F72AD"/>
    <w:rsid w:val="000F75A2"/>
    <w:rsid w:val="000F76F0"/>
    <w:rsid w:val="000F7B98"/>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AA5"/>
    <w:rsid w:val="00150E6D"/>
    <w:rsid w:val="00150F43"/>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0DE"/>
    <w:rsid w:val="0018770B"/>
    <w:rsid w:val="001877B5"/>
    <w:rsid w:val="00187B1A"/>
    <w:rsid w:val="00187B63"/>
    <w:rsid w:val="00187D24"/>
    <w:rsid w:val="00190486"/>
    <w:rsid w:val="0019081E"/>
    <w:rsid w:val="00190A96"/>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493"/>
    <w:rsid w:val="001D78A3"/>
    <w:rsid w:val="001E0362"/>
    <w:rsid w:val="001E0AF1"/>
    <w:rsid w:val="001E1993"/>
    <w:rsid w:val="001E1D82"/>
    <w:rsid w:val="001E1FED"/>
    <w:rsid w:val="001E24D4"/>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BE1"/>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530"/>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4B4"/>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620"/>
    <w:rsid w:val="002476B6"/>
    <w:rsid w:val="00247811"/>
    <w:rsid w:val="00250CA5"/>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732"/>
    <w:rsid w:val="002619A8"/>
    <w:rsid w:val="00261A3D"/>
    <w:rsid w:val="00262D66"/>
    <w:rsid w:val="00262E12"/>
    <w:rsid w:val="002630F9"/>
    <w:rsid w:val="002636D0"/>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E76"/>
    <w:rsid w:val="00277F24"/>
    <w:rsid w:val="0028026F"/>
    <w:rsid w:val="00282C02"/>
    <w:rsid w:val="0028362F"/>
    <w:rsid w:val="00284204"/>
    <w:rsid w:val="00284C07"/>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27DE"/>
    <w:rsid w:val="002C3925"/>
    <w:rsid w:val="002C457C"/>
    <w:rsid w:val="002C4956"/>
    <w:rsid w:val="002C4BFB"/>
    <w:rsid w:val="002C530C"/>
    <w:rsid w:val="002C5B66"/>
    <w:rsid w:val="002C60B9"/>
    <w:rsid w:val="002C648D"/>
    <w:rsid w:val="002C74EA"/>
    <w:rsid w:val="002C7CCE"/>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A2F"/>
    <w:rsid w:val="002E1CEA"/>
    <w:rsid w:val="002E3771"/>
    <w:rsid w:val="002E3F8B"/>
    <w:rsid w:val="002E49A9"/>
    <w:rsid w:val="002E4D64"/>
    <w:rsid w:val="002E53A2"/>
    <w:rsid w:val="002E5A07"/>
    <w:rsid w:val="002E6DF3"/>
    <w:rsid w:val="002E7664"/>
    <w:rsid w:val="002E7CB0"/>
    <w:rsid w:val="002E7CCC"/>
    <w:rsid w:val="002E7D07"/>
    <w:rsid w:val="002E7D9D"/>
    <w:rsid w:val="002E7DD4"/>
    <w:rsid w:val="002F048F"/>
    <w:rsid w:val="002F0958"/>
    <w:rsid w:val="002F0966"/>
    <w:rsid w:val="002F0B6D"/>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D07"/>
    <w:rsid w:val="0032116D"/>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0DE4"/>
    <w:rsid w:val="0034111D"/>
    <w:rsid w:val="003417BD"/>
    <w:rsid w:val="00341CD2"/>
    <w:rsid w:val="003420D7"/>
    <w:rsid w:val="003425E2"/>
    <w:rsid w:val="00342F60"/>
    <w:rsid w:val="003436D3"/>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25E"/>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0FB"/>
    <w:rsid w:val="003A3AD6"/>
    <w:rsid w:val="003A444A"/>
    <w:rsid w:val="003A457F"/>
    <w:rsid w:val="003A5297"/>
    <w:rsid w:val="003A58D8"/>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551"/>
    <w:rsid w:val="003D1761"/>
    <w:rsid w:val="003D1F2B"/>
    <w:rsid w:val="003D24A9"/>
    <w:rsid w:val="003D27EB"/>
    <w:rsid w:val="003D2EE5"/>
    <w:rsid w:val="003D3073"/>
    <w:rsid w:val="003D361D"/>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4E20"/>
    <w:rsid w:val="003E5437"/>
    <w:rsid w:val="003E5B49"/>
    <w:rsid w:val="003E5D66"/>
    <w:rsid w:val="003E6165"/>
    <w:rsid w:val="003E648F"/>
    <w:rsid w:val="003E64CA"/>
    <w:rsid w:val="003E6846"/>
    <w:rsid w:val="003E6AF2"/>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3C4"/>
    <w:rsid w:val="00413797"/>
    <w:rsid w:val="00413885"/>
    <w:rsid w:val="00413B1E"/>
    <w:rsid w:val="0041464E"/>
    <w:rsid w:val="00414724"/>
    <w:rsid w:val="00414C96"/>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3DD9"/>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3D8"/>
    <w:rsid w:val="00464657"/>
    <w:rsid w:val="00464921"/>
    <w:rsid w:val="00464BD5"/>
    <w:rsid w:val="00464E57"/>
    <w:rsid w:val="00465358"/>
    <w:rsid w:val="00465720"/>
    <w:rsid w:val="00465CD8"/>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014"/>
    <w:rsid w:val="00480592"/>
    <w:rsid w:val="00480852"/>
    <w:rsid w:val="00481C10"/>
    <w:rsid w:val="00482456"/>
    <w:rsid w:val="00482487"/>
    <w:rsid w:val="004824A8"/>
    <w:rsid w:val="0048284A"/>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2BA"/>
    <w:rsid w:val="0049549E"/>
    <w:rsid w:val="00495694"/>
    <w:rsid w:val="0049632C"/>
    <w:rsid w:val="00496688"/>
    <w:rsid w:val="004969F6"/>
    <w:rsid w:val="00496B02"/>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5FA"/>
    <w:rsid w:val="004C072C"/>
    <w:rsid w:val="004C0755"/>
    <w:rsid w:val="004C0F99"/>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3575"/>
    <w:rsid w:val="00503D51"/>
    <w:rsid w:val="005049B0"/>
    <w:rsid w:val="00505030"/>
    <w:rsid w:val="00505154"/>
    <w:rsid w:val="00506031"/>
    <w:rsid w:val="0050741B"/>
    <w:rsid w:val="00507638"/>
    <w:rsid w:val="005079E3"/>
    <w:rsid w:val="00510397"/>
    <w:rsid w:val="005115A7"/>
    <w:rsid w:val="00511970"/>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BBC"/>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4035"/>
    <w:rsid w:val="00574C56"/>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F3"/>
    <w:rsid w:val="00583D56"/>
    <w:rsid w:val="00583E03"/>
    <w:rsid w:val="00584024"/>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3A63"/>
    <w:rsid w:val="005D52A9"/>
    <w:rsid w:val="005D5484"/>
    <w:rsid w:val="005D5539"/>
    <w:rsid w:val="005D5B41"/>
    <w:rsid w:val="005D61FD"/>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600049"/>
    <w:rsid w:val="006002C1"/>
    <w:rsid w:val="0060067F"/>
    <w:rsid w:val="00600E57"/>
    <w:rsid w:val="0060163B"/>
    <w:rsid w:val="00601660"/>
    <w:rsid w:val="00601AD2"/>
    <w:rsid w:val="00601F92"/>
    <w:rsid w:val="00602B7B"/>
    <w:rsid w:val="00602DD2"/>
    <w:rsid w:val="00603286"/>
    <w:rsid w:val="00603D27"/>
    <w:rsid w:val="0060441A"/>
    <w:rsid w:val="00604EBB"/>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65D3"/>
    <w:rsid w:val="00616D64"/>
    <w:rsid w:val="006173FD"/>
    <w:rsid w:val="00617BCA"/>
    <w:rsid w:val="006200F7"/>
    <w:rsid w:val="0062292D"/>
    <w:rsid w:val="006231EC"/>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1ED"/>
    <w:rsid w:val="0063476A"/>
    <w:rsid w:val="0063496C"/>
    <w:rsid w:val="00634B08"/>
    <w:rsid w:val="00634B8A"/>
    <w:rsid w:val="00635448"/>
    <w:rsid w:val="006362DD"/>
    <w:rsid w:val="0063636C"/>
    <w:rsid w:val="0063637D"/>
    <w:rsid w:val="0063720E"/>
    <w:rsid w:val="0063753C"/>
    <w:rsid w:val="0063761C"/>
    <w:rsid w:val="0063762C"/>
    <w:rsid w:val="00640173"/>
    <w:rsid w:val="0064049D"/>
    <w:rsid w:val="00640A15"/>
    <w:rsid w:val="00640C93"/>
    <w:rsid w:val="00641913"/>
    <w:rsid w:val="00641DB9"/>
    <w:rsid w:val="00641E5E"/>
    <w:rsid w:val="00642AD0"/>
    <w:rsid w:val="00642E8F"/>
    <w:rsid w:val="00643E13"/>
    <w:rsid w:val="0064448B"/>
    <w:rsid w:val="00645BFC"/>
    <w:rsid w:val="00646357"/>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913"/>
    <w:rsid w:val="0066426C"/>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CA"/>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45"/>
    <w:rsid w:val="006C0990"/>
    <w:rsid w:val="006C282A"/>
    <w:rsid w:val="006C2891"/>
    <w:rsid w:val="006C2DB6"/>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39D1"/>
    <w:rsid w:val="006F422C"/>
    <w:rsid w:val="006F4253"/>
    <w:rsid w:val="006F479E"/>
    <w:rsid w:val="006F4E25"/>
    <w:rsid w:val="006F50E3"/>
    <w:rsid w:val="006F5282"/>
    <w:rsid w:val="006F5441"/>
    <w:rsid w:val="006F55E0"/>
    <w:rsid w:val="006F59B4"/>
    <w:rsid w:val="006F6856"/>
    <w:rsid w:val="006F6E4A"/>
    <w:rsid w:val="006F74B4"/>
    <w:rsid w:val="007007DA"/>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A58"/>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136"/>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51B"/>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16F"/>
    <w:rsid w:val="0078624C"/>
    <w:rsid w:val="0078632F"/>
    <w:rsid w:val="00786E8A"/>
    <w:rsid w:val="00787974"/>
    <w:rsid w:val="007900A9"/>
    <w:rsid w:val="007901C2"/>
    <w:rsid w:val="0079070D"/>
    <w:rsid w:val="00790786"/>
    <w:rsid w:val="00790A36"/>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C06"/>
    <w:rsid w:val="007B1C4E"/>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8F3"/>
    <w:rsid w:val="007F5C8C"/>
    <w:rsid w:val="007F616B"/>
    <w:rsid w:val="007F7EA8"/>
    <w:rsid w:val="00800C05"/>
    <w:rsid w:val="00800FB8"/>
    <w:rsid w:val="0080117A"/>
    <w:rsid w:val="00801BEC"/>
    <w:rsid w:val="0080270F"/>
    <w:rsid w:val="0080289E"/>
    <w:rsid w:val="00802CDD"/>
    <w:rsid w:val="00802FC6"/>
    <w:rsid w:val="008032E4"/>
    <w:rsid w:val="00803684"/>
    <w:rsid w:val="008038B9"/>
    <w:rsid w:val="00805BF6"/>
    <w:rsid w:val="00805D15"/>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D95"/>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5F3F"/>
    <w:rsid w:val="00876681"/>
    <w:rsid w:val="00876AEF"/>
    <w:rsid w:val="00876FC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3E4A"/>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08F"/>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EA8"/>
    <w:rsid w:val="008D2E08"/>
    <w:rsid w:val="008D2EE7"/>
    <w:rsid w:val="008D3981"/>
    <w:rsid w:val="008D39C6"/>
    <w:rsid w:val="008D3FDC"/>
    <w:rsid w:val="008D4110"/>
    <w:rsid w:val="008D608A"/>
    <w:rsid w:val="008D6B14"/>
    <w:rsid w:val="008D6C30"/>
    <w:rsid w:val="008D74F4"/>
    <w:rsid w:val="008D7762"/>
    <w:rsid w:val="008D7EB4"/>
    <w:rsid w:val="008E011C"/>
    <w:rsid w:val="008E0947"/>
    <w:rsid w:val="008E0B81"/>
    <w:rsid w:val="008E1563"/>
    <w:rsid w:val="008E16D3"/>
    <w:rsid w:val="008E1C92"/>
    <w:rsid w:val="008E1D15"/>
    <w:rsid w:val="008E1F17"/>
    <w:rsid w:val="008E21B7"/>
    <w:rsid w:val="008E2911"/>
    <w:rsid w:val="008E2ABD"/>
    <w:rsid w:val="008E2BF4"/>
    <w:rsid w:val="008E2C5F"/>
    <w:rsid w:val="008E3168"/>
    <w:rsid w:val="008E32D9"/>
    <w:rsid w:val="008E3B7D"/>
    <w:rsid w:val="008E45CA"/>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F8B"/>
    <w:rsid w:val="008F55B5"/>
    <w:rsid w:val="008F57CB"/>
    <w:rsid w:val="008F5BB8"/>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14C9"/>
    <w:rsid w:val="00932327"/>
    <w:rsid w:val="00932672"/>
    <w:rsid w:val="009326DA"/>
    <w:rsid w:val="009328CE"/>
    <w:rsid w:val="00932C13"/>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5CC"/>
    <w:rsid w:val="00997294"/>
    <w:rsid w:val="009974D6"/>
    <w:rsid w:val="00997807"/>
    <w:rsid w:val="009978FD"/>
    <w:rsid w:val="00997937"/>
    <w:rsid w:val="00997D4B"/>
    <w:rsid w:val="00997F94"/>
    <w:rsid w:val="009A073C"/>
    <w:rsid w:val="009A132C"/>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7ABA"/>
    <w:rsid w:val="009A7F93"/>
    <w:rsid w:val="009B0394"/>
    <w:rsid w:val="009B0588"/>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91F"/>
    <w:rsid w:val="00A52A1F"/>
    <w:rsid w:val="00A52BCE"/>
    <w:rsid w:val="00A52F4B"/>
    <w:rsid w:val="00A53759"/>
    <w:rsid w:val="00A5394D"/>
    <w:rsid w:val="00A53BFA"/>
    <w:rsid w:val="00A5415B"/>
    <w:rsid w:val="00A541CA"/>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105"/>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4D4F"/>
    <w:rsid w:val="00AD5237"/>
    <w:rsid w:val="00AD5335"/>
    <w:rsid w:val="00AD5726"/>
    <w:rsid w:val="00AD5C89"/>
    <w:rsid w:val="00AD5E69"/>
    <w:rsid w:val="00AD6474"/>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544F"/>
    <w:rsid w:val="00B1623B"/>
    <w:rsid w:val="00B169CC"/>
    <w:rsid w:val="00B1740A"/>
    <w:rsid w:val="00B20CAD"/>
    <w:rsid w:val="00B214AC"/>
    <w:rsid w:val="00B21B18"/>
    <w:rsid w:val="00B222BC"/>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378"/>
    <w:rsid w:val="00B50DC8"/>
    <w:rsid w:val="00B50FF8"/>
    <w:rsid w:val="00B51272"/>
    <w:rsid w:val="00B51D7E"/>
    <w:rsid w:val="00B51F8C"/>
    <w:rsid w:val="00B524C1"/>
    <w:rsid w:val="00B52D50"/>
    <w:rsid w:val="00B5330F"/>
    <w:rsid w:val="00B5400E"/>
    <w:rsid w:val="00B543C2"/>
    <w:rsid w:val="00B5467D"/>
    <w:rsid w:val="00B5523C"/>
    <w:rsid w:val="00B554A5"/>
    <w:rsid w:val="00B55FFF"/>
    <w:rsid w:val="00B5671A"/>
    <w:rsid w:val="00B5691A"/>
    <w:rsid w:val="00B56CD5"/>
    <w:rsid w:val="00B570A2"/>
    <w:rsid w:val="00B577D4"/>
    <w:rsid w:val="00B57830"/>
    <w:rsid w:val="00B57837"/>
    <w:rsid w:val="00B5791C"/>
    <w:rsid w:val="00B579F1"/>
    <w:rsid w:val="00B60499"/>
    <w:rsid w:val="00B609D5"/>
    <w:rsid w:val="00B6102C"/>
    <w:rsid w:val="00B611EC"/>
    <w:rsid w:val="00B612F6"/>
    <w:rsid w:val="00B6133F"/>
    <w:rsid w:val="00B61B0C"/>
    <w:rsid w:val="00B61D6D"/>
    <w:rsid w:val="00B62374"/>
    <w:rsid w:val="00B626B7"/>
    <w:rsid w:val="00B62DC4"/>
    <w:rsid w:val="00B6366D"/>
    <w:rsid w:val="00B63AA9"/>
    <w:rsid w:val="00B63B02"/>
    <w:rsid w:val="00B64E6C"/>
    <w:rsid w:val="00B6529C"/>
    <w:rsid w:val="00B65332"/>
    <w:rsid w:val="00B6546A"/>
    <w:rsid w:val="00B65CC3"/>
    <w:rsid w:val="00B66284"/>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9F"/>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671"/>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EE9"/>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1FF"/>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301D"/>
    <w:rsid w:val="00BD37CE"/>
    <w:rsid w:val="00BD3B61"/>
    <w:rsid w:val="00BD46E9"/>
    <w:rsid w:val="00BD4DD3"/>
    <w:rsid w:val="00BD508A"/>
    <w:rsid w:val="00BD5293"/>
    <w:rsid w:val="00BD5BF5"/>
    <w:rsid w:val="00BD790F"/>
    <w:rsid w:val="00BE052C"/>
    <w:rsid w:val="00BE0E29"/>
    <w:rsid w:val="00BE1527"/>
    <w:rsid w:val="00BE22B0"/>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1A8"/>
    <w:rsid w:val="00C1774C"/>
    <w:rsid w:val="00C17B77"/>
    <w:rsid w:val="00C17BE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4011B"/>
    <w:rsid w:val="00C40DFC"/>
    <w:rsid w:val="00C4126C"/>
    <w:rsid w:val="00C413EE"/>
    <w:rsid w:val="00C41705"/>
    <w:rsid w:val="00C432A3"/>
    <w:rsid w:val="00C43453"/>
    <w:rsid w:val="00C44865"/>
    <w:rsid w:val="00C44FE7"/>
    <w:rsid w:val="00C4560A"/>
    <w:rsid w:val="00C459E1"/>
    <w:rsid w:val="00C45A93"/>
    <w:rsid w:val="00C45F53"/>
    <w:rsid w:val="00C46244"/>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4410"/>
    <w:rsid w:val="00C54A42"/>
    <w:rsid w:val="00C54ABE"/>
    <w:rsid w:val="00C55FE9"/>
    <w:rsid w:val="00C56154"/>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0F0B"/>
    <w:rsid w:val="00C716FC"/>
    <w:rsid w:val="00C72389"/>
    <w:rsid w:val="00C723B4"/>
    <w:rsid w:val="00C7259F"/>
    <w:rsid w:val="00C7318A"/>
    <w:rsid w:val="00C73407"/>
    <w:rsid w:val="00C734D1"/>
    <w:rsid w:val="00C73695"/>
    <w:rsid w:val="00C739A8"/>
    <w:rsid w:val="00C746C1"/>
    <w:rsid w:val="00C74FEB"/>
    <w:rsid w:val="00C75218"/>
    <w:rsid w:val="00C75712"/>
    <w:rsid w:val="00C760EB"/>
    <w:rsid w:val="00C77CE8"/>
    <w:rsid w:val="00C80484"/>
    <w:rsid w:val="00C804FD"/>
    <w:rsid w:val="00C81299"/>
    <w:rsid w:val="00C81C3D"/>
    <w:rsid w:val="00C81F4F"/>
    <w:rsid w:val="00C8237A"/>
    <w:rsid w:val="00C82E5C"/>
    <w:rsid w:val="00C83019"/>
    <w:rsid w:val="00C834C0"/>
    <w:rsid w:val="00C838BF"/>
    <w:rsid w:val="00C83B07"/>
    <w:rsid w:val="00C8458B"/>
    <w:rsid w:val="00C86144"/>
    <w:rsid w:val="00C86A92"/>
    <w:rsid w:val="00C875DD"/>
    <w:rsid w:val="00C91FFC"/>
    <w:rsid w:val="00C93182"/>
    <w:rsid w:val="00C93613"/>
    <w:rsid w:val="00C93E47"/>
    <w:rsid w:val="00C940C5"/>
    <w:rsid w:val="00C9458D"/>
    <w:rsid w:val="00C94BC0"/>
    <w:rsid w:val="00C94D48"/>
    <w:rsid w:val="00C94D4B"/>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0F"/>
    <w:rsid w:val="00CB1353"/>
    <w:rsid w:val="00CB1A83"/>
    <w:rsid w:val="00CB2A64"/>
    <w:rsid w:val="00CB44A1"/>
    <w:rsid w:val="00CB45E4"/>
    <w:rsid w:val="00CB4736"/>
    <w:rsid w:val="00CB498E"/>
    <w:rsid w:val="00CB56AB"/>
    <w:rsid w:val="00CB593E"/>
    <w:rsid w:val="00CB61DD"/>
    <w:rsid w:val="00CB688E"/>
    <w:rsid w:val="00CB6E70"/>
    <w:rsid w:val="00CC19ED"/>
    <w:rsid w:val="00CC22D5"/>
    <w:rsid w:val="00CC343D"/>
    <w:rsid w:val="00CC46D9"/>
    <w:rsid w:val="00CC4778"/>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EC5"/>
    <w:rsid w:val="00CD278C"/>
    <w:rsid w:val="00CD27DA"/>
    <w:rsid w:val="00CD28A5"/>
    <w:rsid w:val="00CD3545"/>
    <w:rsid w:val="00CD36B3"/>
    <w:rsid w:val="00CD378F"/>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554"/>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27C"/>
    <w:rsid w:val="00CF55C8"/>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4FC"/>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FB"/>
    <w:rsid w:val="00D61559"/>
    <w:rsid w:val="00D61AA8"/>
    <w:rsid w:val="00D61EF0"/>
    <w:rsid w:val="00D620D7"/>
    <w:rsid w:val="00D621FD"/>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27"/>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FC2"/>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1792"/>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24E"/>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1582"/>
    <w:rsid w:val="00DF26D7"/>
    <w:rsid w:val="00DF335D"/>
    <w:rsid w:val="00DF37B4"/>
    <w:rsid w:val="00DF3B17"/>
    <w:rsid w:val="00DF440D"/>
    <w:rsid w:val="00DF4911"/>
    <w:rsid w:val="00DF4A85"/>
    <w:rsid w:val="00DF4D5C"/>
    <w:rsid w:val="00DF5B52"/>
    <w:rsid w:val="00DF5B71"/>
    <w:rsid w:val="00DF5BF7"/>
    <w:rsid w:val="00DF6365"/>
    <w:rsid w:val="00DF7448"/>
    <w:rsid w:val="00E0007F"/>
    <w:rsid w:val="00E00742"/>
    <w:rsid w:val="00E00B2E"/>
    <w:rsid w:val="00E011C4"/>
    <w:rsid w:val="00E01378"/>
    <w:rsid w:val="00E015D3"/>
    <w:rsid w:val="00E01CD2"/>
    <w:rsid w:val="00E0208B"/>
    <w:rsid w:val="00E02488"/>
    <w:rsid w:val="00E02CBE"/>
    <w:rsid w:val="00E039A4"/>
    <w:rsid w:val="00E04339"/>
    <w:rsid w:val="00E04A77"/>
    <w:rsid w:val="00E0580E"/>
    <w:rsid w:val="00E05E03"/>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46E8"/>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FED"/>
    <w:rsid w:val="00E426E8"/>
    <w:rsid w:val="00E43741"/>
    <w:rsid w:val="00E439C1"/>
    <w:rsid w:val="00E43EE9"/>
    <w:rsid w:val="00E461A4"/>
    <w:rsid w:val="00E461C1"/>
    <w:rsid w:val="00E46326"/>
    <w:rsid w:val="00E4667D"/>
    <w:rsid w:val="00E46686"/>
    <w:rsid w:val="00E46DB5"/>
    <w:rsid w:val="00E46F30"/>
    <w:rsid w:val="00E471A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772"/>
    <w:rsid w:val="00E63B8D"/>
    <w:rsid w:val="00E63C97"/>
    <w:rsid w:val="00E63E85"/>
    <w:rsid w:val="00E64990"/>
    <w:rsid w:val="00E65313"/>
    <w:rsid w:val="00E65883"/>
    <w:rsid w:val="00E66655"/>
    <w:rsid w:val="00E676B0"/>
    <w:rsid w:val="00E67732"/>
    <w:rsid w:val="00E67D65"/>
    <w:rsid w:val="00E67DC1"/>
    <w:rsid w:val="00E700A1"/>
    <w:rsid w:val="00E70C90"/>
    <w:rsid w:val="00E71969"/>
    <w:rsid w:val="00E72386"/>
    <w:rsid w:val="00E727C7"/>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DE"/>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4008"/>
    <w:rsid w:val="00EC4883"/>
    <w:rsid w:val="00EC4CC1"/>
    <w:rsid w:val="00EC535E"/>
    <w:rsid w:val="00EC5D51"/>
    <w:rsid w:val="00EC6017"/>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E58C8"/>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B74"/>
    <w:rsid w:val="00F11CFA"/>
    <w:rsid w:val="00F121E3"/>
    <w:rsid w:val="00F12C7A"/>
    <w:rsid w:val="00F12EFB"/>
    <w:rsid w:val="00F1305E"/>
    <w:rsid w:val="00F134DD"/>
    <w:rsid w:val="00F13801"/>
    <w:rsid w:val="00F1446F"/>
    <w:rsid w:val="00F158CC"/>
    <w:rsid w:val="00F158F7"/>
    <w:rsid w:val="00F16112"/>
    <w:rsid w:val="00F16717"/>
    <w:rsid w:val="00F169ED"/>
    <w:rsid w:val="00F16E67"/>
    <w:rsid w:val="00F16E7F"/>
    <w:rsid w:val="00F170CB"/>
    <w:rsid w:val="00F17A35"/>
    <w:rsid w:val="00F17B20"/>
    <w:rsid w:val="00F20990"/>
    <w:rsid w:val="00F20C32"/>
    <w:rsid w:val="00F20FE0"/>
    <w:rsid w:val="00F2105A"/>
    <w:rsid w:val="00F2133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07C3"/>
    <w:rsid w:val="00F40D71"/>
    <w:rsid w:val="00F42577"/>
    <w:rsid w:val="00F42C64"/>
    <w:rsid w:val="00F43596"/>
    <w:rsid w:val="00F43AD3"/>
    <w:rsid w:val="00F4475B"/>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596E"/>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441C"/>
    <w:rsid w:val="00FB5F96"/>
    <w:rsid w:val="00FB737D"/>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034B"/>
    <w:rsid w:val="00FD0AF7"/>
    <w:rsid w:val="00FD1621"/>
    <w:rsid w:val="00FD1B20"/>
    <w:rsid w:val="00FD1D80"/>
    <w:rsid w:val="00FD25A3"/>
    <w:rsid w:val="00FD30A0"/>
    <w:rsid w:val="00FD3996"/>
    <w:rsid w:val="00FD3E52"/>
    <w:rsid w:val="00FD3FE7"/>
    <w:rsid w:val="00FD4ED1"/>
    <w:rsid w:val="00FD5044"/>
    <w:rsid w:val="00FD6117"/>
    <w:rsid w:val="00FD6868"/>
    <w:rsid w:val="00FD6CD6"/>
    <w:rsid w:val="00FD7103"/>
    <w:rsid w:val="00FD7C04"/>
    <w:rsid w:val="00FD7F60"/>
    <w:rsid w:val="00FE0AAC"/>
    <w:rsid w:val="00FE0BC3"/>
    <w:rsid w:val="00FE0C2A"/>
    <w:rsid w:val="00FE13CE"/>
    <w:rsid w:val="00FE1AAE"/>
    <w:rsid w:val="00FE1EAC"/>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3834"/>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15:docId w15:val="{A860AE46-F532-4381-A73A-C701E6C19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FE1EAC"/>
    <w:pPr>
      <w:keepNext/>
      <w:spacing w:before="240"/>
      <w:ind w:left="567" w:hanging="567"/>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FE1EAC"/>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3090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8.wmf"/><Relationship Id="rId68" Type="http://schemas.openxmlformats.org/officeDocument/2006/relationships/image" Target="media/image30.wmf"/><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oleObject" Target="embeddings/oleObject30.bin"/><Relationship Id="rId74" Type="http://schemas.openxmlformats.org/officeDocument/2006/relationships/oleObject" Target="embeddings/oleObject35.bin"/><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2.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2E500-3A05-4361-B424-FAF149A37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TotalTime>
  <Pages>3</Pages>
  <Words>845</Words>
  <Characters>4818</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ZhangMeng</cp:lastModifiedBy>
  <cp:revision>275</cp:revision>
  <cp:lastPrinted>2014-04-22T06:35:00Z</cp:lastPrinted>
  <dcterms:created xsi:type="dcterms:W3CDTF">2017-06-16T03:36:00Z</dcterms:created>
  <dcterms:modified xsi:type="dcterms:W3CDTF">2017-09-29T05:34:00Z</dcterms:modified>
</cp:coreProperties>
</file>